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6BB71" w14:textId="586790B3" w:rsidR="00116075" w:rsidRDefault="00116075" w:rsidP="00116075">
      <w:pPr>
        <w:tabs>
          <w:tab w:val="left" w:pos="1985"/>
        </w:tabs>
        <w:spacing w:after="0"/>
        <w:ind w:left="2040" w:hangingChars="850" w:hanging="2040"/>
        <w:rPr>
          <w:rFonts w:ascii="Arial" w:eastAsia="Malgun Gothic" w:hAnsi="Arial"/>
          <w:b/>
          <w:sz w:val="24"/>
          <w:lang w:eastAsia="en-US"/>
        </w:rPr>
      </w:pPr>
      <w:r w:rsidRPr="001E492F">
        <w:rPr>
          <w:rFonts w:ascii="Arial" w:eastAsia="Malgun Gothic" w:hAnsi="Arial"/>
          <w:b/>
          <w:sz w:val="24"/>
          <w:lang w:eastAsia="en-US"/>
        </w:rPr>
        <w:t>3GPP TSG-RAN WG2 Meeting #127</w:t>
      </w:r>
      <w:r w:rsidR="00121757">
        <w:rPr>
          <w:rFonts w:ascii="Arial" w:eastAsia="Malgun Gothic" w:hAnsi="Arial"/>
          <w:b/>
          <w:sz w:val="24"/>
          <w:lang w:eastAsia="en-US"/>
        </w:rPr>
        <w:t>-</w:t>
      </w:r>
      <w:r>
        <w:rPr>
          <w:rFonts w:ascii="Arial" w:eastAsia="Malgun Gothic" w:hAnsi="Arial"/>
          <w:b/>
          <w:sz w:val="24"/>
          <w:lang w:eastAsia="en-US"/>
        </w:rPr>
        <w:t>bis</w:t>
      </w:r>
      <w:r>
        <w:rPr>
          <w:rFonts w:ascii="Arial" w:eastAsia="Malgun Gothic" w:hAnsi="Arial"/>
          <w:b/>
          <w:sz w:val="24"/>
          <w:lang w:eastAsia="en-US"/>
        </w:rPr>
        <w:tab/>
      </w:r>
      <w:r>
        <w:rPr>
          <w:rFonts w:ascii="Arial" w:eastAsia="Malgun Gothic" w:hAnsi="Arial"/>
          <w:b/>
          <w:sz w:val="24"/>
          <w:lang w:eastAsia="en-US"/>
        </w:rPr>
        <w:tab/>
      </w:r>
      <w:r>
        <w:rPr>
          <w:rFonts w:ascii="Arial" w:eastAsia="Malgun Gothic" w:hAnsi="Arial"/>
          <w:b/>
          <w:sz w:val="24"/>
          <w:lang w:eastAsia="en-US"/>
        </w:rPr>
        <w:tab/>
      </w:r>
      <w:r>
        <w:rPr>
          <w:rFonts w:ascii="Arial" w:eastAsia="Malgun Gothic" w:hAnsi="Arial"/>
          <w:b/>
          <w:sz w:val="24"/>
          <w:lang w:eastAsia="en-US"/>
        </w:rPr>
        <w:tab/>
      </w:r>
      <w:r w:rsidRPr="001E492F">
        <w:rPr>
          <w:rFonts w:ascii="Arial" w:eastAsia="Malgun Gothic" w:hAnsi="Arial"/>
          <w:b/>
          <w:sz w:val="24"/>
          <w:lang w:eastAsia="en-US"/>
        </w:rPr>
        <w:tab/>
      </w:r>
      <w:r w:rsidR="005A4671" w:rsidRPr="005A4671">
        <w:rPr>
          <w:rFonts w:ascii="Arial" w:eastAsia="Malgun Gothic" w:hAnsi="Arial"/>
          <w:b/>
          <w:sz w:val="24"/>
          <w:lang w:eastAsia="en-US"/>
        </w:rPr>
        <w:t>R2-2408963</w:t>
      </w:r>
    </w:p>
    <w:p w14:paraId="1C81A3E3" w14:textId="77777777" w:rsidR="00116075" w:rsidRPr="001E492F" w:rsidRDefault="00116075" w:rsidP="00116075">
      <w:pPr>
        <w:tabs>
          <w:tab w:val="left" w:pos="1985"/>
        </w:tabs>
        <w:ind w:left="2040" w:hangingChars="850" w:hanging="2040"/>
        <w:rPr>
          <w:rFonts w:ascii="Arial" w:eastAsia="Malgun Gothic" w:hAnsi="Arial"/>
          <w:b/>
          <w:sz w:val="24"/>
          <w:lang w:eastAsia="en-US"/>
        </w:rPr>
      </w:pPr>
      <w:r w:rsidRPr="001E492F">
        <w:rPr>
          <w:rFonts w:ascii="Arial" w:eastAsia="Malgun Gothic" w:hAnsi="Arial"/>
          <w:b/>
          <w:sz w:val="24"/>
          <w:lang w:eastAsia="en-US"/>
        </w:rPr>
        <w:t>Hefei, China, Oct</w:t>
      </w:r>
      <w:r>
        <w:rPr>
          <w:rFonts w:ascii="Arial" w:eastAsia="Malgun Gothic" w:hAnsi="Arial"/>
          <w:b/>
          <w:sz w:val="24"/>
          <w:lang w:eastAsia="en-US"/>
        </w:rPr>
        <w:t>ober</w:t>
      </w:r>
      <w:r w:rsidRPr="001E492F">
        <w:rPr>
          <w:rFonts w:ascii="Arial" w:eastAsia="Malgun Gothic" w:hAnsi="Arial"/>
          <w:b/>
          <w:sz w:val="24"/>
          <w:lang w:eastAsia="en-US"/>
        </w:rPr>
        <w:t xml:space="preserve"> 14th – 18th, 2024</w:t>
      </w:r>
    </w:p>
    <w:p w14:paraId="49FF7107" w14:textId="77777777" w:rsidR="00C13A61" w:rsidRPr="003C2E7A" w:rsidRDefault="00C13A61" w:rsidP="00C13A61">
      <w:pPr>
        <w:pStyle w:val="CRCoverPage"/>
        <w:tabs>
          <w:tab w:val="left" w:pos="1985"/>
        </w:tabs>
        <w:spacing w:after="0"/>
        <w:rPr>
          <w:rFonts w:asciiTheme="minorHAnsi" w:hAnsiTheme="minorHAnsi" w:cstheme="minorHAnsi"/>
          <w:b/>
          <w:bCs/>
          <w:sz w:val="28"/>
          <w:lang w:eastAsia="ja-JP"/>
        </w:rPr>
      </w:pPr>
      <w:r w:rsidRPr="003C2E7A">
        <w:rPr>
          <w:rFonts w:asciiTheme="minorHAnsi" w:hAnsiTheme="minorHAnsi" w:cstheme="minorHAnsi"/>
          <w:b/>
          <w:bCs/>
          <w:sz w:val="28"/>
        </w:rPr>
        <w:t>Agenda item:</w:t>
      </w:r>
      <w:r w:rsidRPr="003C2E7A">
        <w:rPr>
          <w:rFonts w:asciiTheme="minorHAnsi" w:hAnsiTheme="minorHAnsi" w:cstheme="minorHAnsi"/>
          <w:b/>
          <w:bCs/>
          <w:sz w:val="28"/>
        </w:rPr>
        <w:tab/>
        <w:t>8.1.2.2</w:t>
      </w:r>
    </w:p>
    <w:p w14:paraId="679FFB06" w14:textId="77777777" w:rsidR="00C13A61" w:rsidRPr="003C2E7A" w:rsidRDefault="00C13A61" w:rsidP="00C13A61">
      <w:pPr>
        <w:tabs>
          <w:tab w:val="left" w:pos="1985"/>
        </w:tabs>
        <w:spacing w:after="0"/>
        <w:ind w:left="1985" w:hanging="1985"/>
        <w:rPr>
          <w:rFonts w:eastAsia="SimSun" w:cstheme="minorHAnsi"/>
          <w:b/>
          <w:bCs/>
          <w:sz w:val="28"/>
          <w:szCs w:val="20"/>
          <w:lang w:val="en-GB" w:eastAsia="en-US"/>
        </w:rPr>
      </w:pPr>
      <w:r w:rsidRPr="003C2E7A">
        <w:rPr>
          <w:rFonts w:eastAsia="SimSun" w:cstheme="minorHAnsi"/>
          <w:b/>
          <w:bCs/>
          <w:sz w:val="28"/>
          <w:szCs w:val="20"/>
          <w:lang w:val="en-GB" w:eastAsia="en-US"/>
        </w:rPr>
        <w:t>Source:</w:t>
      </w:r>
      <w:r w:rsidRPr="003C2E7A">
        <w:rPr>
          <w:rFonts w:eastAsia="SimSun" w:cstheme="minorHAnsi"/>
          <w:b/>
          <w:bCs/>
          <w:sz w:val="28"/>
          <w:szCs w:val="20"/>
          <w:lang w:val="en-GB" w:eastAsia="en-US"/>
        </w:rPr>
        <w:tab/>
        <w:t>Samsung</w:t>
      </w:r>
    </w:p>
    <w:p w14:paraId="7F6DFB14" w14:textId="1B372C90" w:rsidR="00C13A61" w:rsidRPr="003C2E7A" w:rsidRDefault="00C13A61" w:rsidP="00C13A61">
      <w:pPr>
        <w:tabs>
          <w:tab w:val="left" w:pos="1985"/>
        </w:tabs>
        <w:spacing w:after="0"/>
        <w:ind w:left="1985" w:hanging="1985"/>
        <w:rPr>
          <w:rFonts w:eastAsia="SimSun" w:cstheme="minorHAnsi"/>
          <w:b/>
          <w:bCs/>
          <w:sz w:val="28"/>
          <w:szCs w:val="20"/>
          <w:lang w:val="en-GB" w:eastAsia="en-US"/>
        </w:rPr>
      </w:pPr>
      <w:r w:rsidRPr="003C2E7A">
        <w:rPr>
          <w:rFonts w:eastAsia="SimSun" w:cstheme="minorHAnsi"/>
          <w:b/>
          <w:bCs/>
          <w:sz w:val="28"/>
          <w:szCs w:val="20"/>
          <w:lang w:val="en-GB" w:eastAsia="en-US"/>
        </w:rPr>
        <w:t>Title:</w:t>
      </w:r>
      <w:r w:rsidRPr="003C2E7A">
        <w:rPr>
          <w:rFonts w:eastAsia="SimSun" w:cstheme="minorHAnsi"/>
          <w:b/>
          <w:bCs/>
          <w:sz w:val="28"/>
          <w:szCs w:val="20"/>
          <w:lang w:val="en-GB" w:eastAsia="en-US"/>
        </w:rPr>
        <w:tab/>
      </w:r>
      <w:r w:rsidR="00DC6E03" w:rsidRPr="003C2E7A">
        <w:rPr>
          <w:rFonts w:eastAsia="SimSun" w:cstheme="minorHAnsi"/>
          <w:b/>
          <w:bCs/>
          <w:sz w:val="28"/>
          <w:szCs w:val="20"/>
          <w:lang w:val="en-GB" w:eastAsia="en-US"/>
        </w:rPr>
        <w:t>Discussion on LCM for UE-sided model for beam management</w:t>
      </w:r>
    </w:p>
    <w:p w14:paraId="39462FAB" w14:textId="77777777" w:rsidR="00C13A61" w:rsidRPr="003C2E7A" w:rsidRDefault="00C13A61" w:rsidP="00C13A61">
      <w:pPr>
        <w:pBdr>
          <w:bottom w:val="single" w:sz="6" w:space="1" w:color="auto"/>
        </w:pBdr>
        <w:tabs>
          <w:tab w:val="left" w:pos="1985"/>
        </w:tabs>
        <w:ind w:left="1985" w:hanging="1985"/>
        <w:rPr>
          <w:rFonts w:eastAsia="SimSun" w:cstheme="minorHAnsi"/>
          <w:b/>
          <w:bCs/>
          <w:sz w:val="28"/>
          <w:szCs w:val="20"/>
          <w:lang w:val="en-GB" w:eastAsia="en-US"/>
        </w:rPr>
      </w:pPr>
      <w:r w:rsidRPr="003C2E7A">
        <w:rPr>
          <w:rFonts w:eastAsia="SimSun" w:cstheme="minorHAnsi"/>
          <w:b/>
          <w:bCs/>
          <w:sz w:val="28"/>
          <w:szCs w:val="20"/>
          <w:lang w:val="en-GB" w:eastAsia="en-US"/>
        </w:rPr>
        <w:t>Document for:</w:t>
      </w:r>
      <w:r w:rsidRPr="003C2E7A">
        <w:rPr>
          <w:rFonts w:eastAsia="SimSun" w:cstheme="minorHAnsi"/>
          <w:b/>
          <w:bCs/>
          <w:sz w:val="28"/>
          <w:szCs w:val="20"/>
          <w:lang w:val="en-GB" w:eastAsia="en-US"/>
        </w:rPr>
        <w:tab/>
        <w:t>Discussion and Decision</w:t>
      </w:r>
    </w:p>
    <w:p w14:paraId="549F8145" w14:textId="77777777" w:rsidR="00C13A61" w:rsidRDefault="00C13A61" w:rsidP="009F40AD">
      <w:pPr>
        <w:pStyle w:val="Heading1"/>
        <w:numPr>
          <w:ilvl w:val="0"/>
          <w:numId w:val="3"/>
        </w:numPr>
      </w:pPr>
      <w:r>
        <w:t>Introduction</w:t>
      </w:r>
      <w:bookmarkStart w:id="0" w:name="_GoBack"/>
      <w:bookmarkEnd w:id="0"/>
    </w:p>
    <w:p w14:paraId="062F1F38" w14:textId="77777777" w:rsidR="00C13A61" w:rsidRDefault="00C13A61" w:rsidP="00C13A61">
      <w:r>
        <w:t xml:space="preserve">In this contribution, </w:t>
      </w:r>
      <w:r w:rsidR="005F31AF">
        <w:t xml:space="preserve">we discuss the following remaining aspects to progress this topic. </w:t>
      </w:r>
    </w:p>
    <w:p w14:paraId="57AC4CC6" w14:textId="77777777" w:rsidR="005F31AF" w:rsidRDefault="005F31AF" w:rsidP="005F31AF">
      <w:pPr>
        <w:pStyle w:val="ListParagraph"/>
        <w:numPr>
          <w:ilvl w:val="0"/>
          <w:numId w:val="7"/>
        </w:numPr>
      </w:pPr>
      <w:r>
        <w:t>NW-side additional condition</w:t>
      </w:r>
    </w:p>
    <w:p w14:paraId="080A1FF9" w14:textId="397BBD6E" w:rsidR="005F31AF" w:rsidRDefault="005F31AF" w:rsidP="005F31AF">
      <w:pPr>
        <w:pStyle w:val="ListParagraph"/>
        <w:numPr>
          <w:ilvl w:val="0"/>
          <w:numId w:val="7"/>
        </w:numPr>
      </w:pPr>
      <w:r>
        <w:t>Performance monitoring</w:t>
      </w:r>
    </w:p>
    <w:p w14:paraId="6C03A423" w14:textId="77777777" w:rsidR="005A4671" w:rsidRPr="005A4671" w:rsidRDefault="005A4671" w:rsidP="005A4671">
      <w:pPr>
        <w:pStyle w:val="ListParagraph"/>
        <w:numPr>
          <w:ilvl w:val="0"/>
          <w:numId w:val="7"/>
        </w:numPr>
      </w:pPr>
      <w:r w:rsidRPr="005A4671">
        <w:t>Data collection for training</w:t>
      </w:r>
    </w:p>
    <w:p w14:paraId="0653E1C4" w14:textId="77777777" w:rsidR="009F40AD" w:rsidRDefault="009F40AD" w:rsidP="002770E2">
      <w:pPr>
        <w:pStyle w:val="Heading1"/>
        <w:numPr>
          <w:ilvl w:val="0"/>
          <w:numId w:val="3"/>
        </w:numPr>
        <w:jc w:val="both"/>
      </w:pPr>
      <w:r>
        <w:t>NW-sided additional condition</w:t>
      </w:r>
    </w:p>
    <w:p w14:paraId="5B08CF14" w14:textId="77777777" w:rsidR="00D22697" w:rsidRDefault="00C96A03" w:rsidP="002770E2">
      <w:pPr>
        <w:jc w:val="both"/>
      </w:pPr>
      <w:r>
        <w:t>Based on RAN1 discussion, it is understood that NW-side additional condition should be provided to ensure consistency between training and inference</w:t>
      </w:r>
      <w:r w:rsidR="00D22697">
        <w:t xml:space="preserve"> and one option agreed is using associated ID. That is, associated ID can be used for UE categorizing the measurements (as model inputs/labeling during training) and associated ID can also be used in the inference operation to identify proper models (i.e. applicable functionalities).</w:t>
      </w:r>
    </w:p>
    <w:p w14:paraId="7BFD18EA" w14:textId="7AE0DF66" w:rsidR="00D22697" w:rsidRPr="00D22697" w:rsidRDefault="00D22697" w:rsidP="002770E2">
      <w:pPr>
        <w:jc w:val="both"/>
        <w:rPr>
          <w:b/>
        </w:rPr>
      </w:pPr>
      <w:r w:rsidRPr="00D22697">
        <w:rPr>
          <w:b/>
        </w:rPr>
        <w:t>Observation</w:t>
      </w:r>
      <w:r w:rsidR="00240F81">
        <w:rPr>
          <w:b/>
        </w:rPr>
        <w:t xml:space="preserve"> </w:t>
      </w:r>
      <w:r w:rsidR="00240F81" w:rsidRPr="00762AF2">
        <w:rPr>
          <w:rFonts w:cs="Calibri"/>
          <w:b/>
          <w:bCs/>
        </w:rPr>
        <w:fldChar w:fldCharType="begin"/>
      </w:r>
      <w:r w:rsidR="00240F81" w:rsidRPr="00762AF2">
        <w:rPr>
          <w:rFonts w:cs="Calibri"/>
          <w:b/>
          <w:bCs/>
        </w:rPr>
        <w:instrText xml:space="preserve"> SEQ obj \* MERGEFORMAT </w:instrText>
      </w:r>
      <w:r w:rsidR="00240F81" w:rsidRPr="00762AF2">
        <w:rPr>
          <w:rFonts w:cs="Calibri"/>
          <w:b/>
          <w:bCs/>
        </w:rPr>
        <w:fldChar w:fldCharType="separate"/>
      </w:r>
      <w:r w:rsidR="003C2E7A">
        <w:rPr>
          <w:rFonts w:cs="Calibri"/>
          <w:b/>
          <w:bCs/>
          <w:noProof/>
        </w:rPr>
        <w:t>1</w:t>
      </w:r>
      <w:r w:rsidR="00240F81" w:rsidRPr="00762AF2">
        <w:rPr>
          <w:rFonts w:cs="Calibri"/>
          <w:b/>
          <w:bCs/>
        </w:rPr>
        <w:fldChar w:fldCharType="end"/>
      </w:r>
      <w:r w:rsidRPr="00D22697">
        <w:rPr>
          <w:b/>
        </w:rPr>
        <w:t xml:space="preserve">: </w:t>
      </w:r>
      <w:r w:rsidR="00F06C9C">
        <w:rPr>
          <w:b/>
        </w:rPr>
        <w:t>A</w:t>
      </w:r>
      <w:r w:rsidR="00F06C9C" w:rsidRPr="00D22697">
        <w:rPr>
          <w:b/>
        </w:rPr>
        <w:t xml:space="preserve">ssociated </w:t>
      </w:r>
      <w:r w:rsidRPr="00D22697">
        <w:rPr>
          <w:b/>
        </w:rPr>
        <w:t xml:space="preserve">ID is </w:t>
      </w:r>
      <w:r w:rsidR="00F06C9C" w:rsidRPr="00D22697">
        <w:rPr>
          <w:b/>
        </w:rPr>
        <w:t>need</w:t>
      </w:r>
      <w:r w:rsidR="00F06C9C">
        <w:rPr>
          <w:b/>
        </w:rPr>
        <w:t xml:space="preserve">s </w:t>
      </w:r>
      <w:r w:rsidR="00B37E5C">
        <w:rPr>
          <w:b/>
        </w:rPr>
        <w:t xml:space="preserve">to </w:t>
      </w:r>
      <w:r w:rsidR="00F06C9C">
        <w:rPr>
          <w:b/>
        </w:rPr>
        <w:t xml:space="preserve">be </w:t>
      </w:r>
      <w:r w:rsidR="00B37E5C">
        <w:rPr>
          <w:b/>
        </w:rPr>
        <w:t>provide</w:t>
      </w:r>
      <w:r w:rsidR="00F06C9C">
        <w:rPr>
          <w:b/>
        </w:rPr>
        <w:t>d</w:t>
      </w:r>
      <w:r w:rsidRPr="00D22697">
        <w:rPr>
          <w:b/>
        </w:rPr>
        <w:t xml:space="preserve"> in both training and inference phase.  </w:t>
      </w:r>
    </w:p>
    <w:p w14:paraId="37B1C35E" w14:textId="77777777" w:rsidR="00071AED" w:rsidRDefault="00D22697" w:rsidP="002770E2">
      <w:pPr>
        <w:jc w:val="both"/>
      </w:pPr>
      <w:r>
        <w:t xml:space="preserve">It means that </w:t>
      </w:r>
      <w:r w:rsidR="00071AED">
        <w:t>NW-sided additional conditions would mean different configurations to affect</w:t>
      </w:r>
      <w:r w:rsidR="00C96A03">
        <w:t xml:space="preserve"> </w:t>
      </w:r>
      <w:r w:rsidR="00071AED">
        <w:t>model training e.g. s</w:t>
      </w:r>
      <w:r w:rsidR="00C96A03">
        <w:t xml:space="preserve">ize of set A / set B, </w:t>
      </w:r>
      <w:r w:rsidR="00071AED">
        <w:t>c</w:t>
      </w:r>
      <w:r w:rsidR="00C96A03">
        <w:t>omposition of set A and set B</w:t>
      </w:r>
      <w:r w:rsidR="00071AED">
        <w:t xml:space="preserve">, </w:t>
      </w:r>
      <w:r w:rsidR="00C96A03">
        <w:t>prediction window</w:t>
      </w:r>
      <w:r w:rsidR="00071AED">
        <w:t xml:space="preserve">, </w:t>
      </w:r>
      <w:r w:rsidR="00C96A03">
        <w:t>gNB beam codebook</w:t>
      </w:r>
      <w:r w:rsidR="00071AED">
        <w:t xml:space="preserve">, </w:t>
      </w:r>
      <w:r w:rsidR="00C96A03">
        <w:t>gNB antenna configuration</w:t>
      </w:r>
      <w:r w:rsidR="00071AED">
        <w:t xml:space="preserve">, etc. Some of configurations would not be explicitly indicated because it is related to gNB implementation. </w:t>
      </w:r>
      <w:r w:rsidR="00662CE2">
        <w:t xml:space="preserve">In addition, it is FFS in RAN1 how to configure the associate ID i.e. how it is transmitted with respect to Set A/Set B resource configuration. </w:t>
      </w:r>
    </w:p>
    <w:p w14:paraId="39A0B874" w14:textId="05E4230F" w:rsidR="00662CE2" w:rsidRPr="00D22697" w:rsidRDefault="00662CE2" w:rsidP="002770E2">
      <w:pPr>
        <w:jc w:val="both"/>
        <w:rPr>
          <w:b/>
        </w:rPr>
      </w:pPr>
      <w:r w:rsidRPr="00D22697">
        <w:rPr>
          <w:b/>
        </w:rPr>
        <w:t>Observation</w:t>
      </w:r>
      <w:r w:rsidR="00240F81">
        <w:rPr>
          <w:b/>
        </w:rPr>
        <w:t xml:space="preserve"> </w:t>
      </w:r>
      <w:r w:rsidR="00240F81" w:rsidRPr="00762AF2">
        <w:rPr>
          <w:rFonts w:cs="Calibri"/>
          <w:b/>
          <w:bCs/>
        </w:rPr>
        <w:fldChar w:fldCharType="begin"/>
      </w:r>
      <w:r w:rsidR="00240F81" w:rsidRPr="00762AF2">
        <w:rPr>
          <w:rFonts w:cs="Calibri"/>
          <w:b/>
          <w:bCs/>
        </w:rPr>
        <w:instrText xml:space="preserve"> SEQ obj \* MERGEFORMAT </w:instrText>
      </w:r>
      <w:r w:rsidR="00240F81" w:rsidRPr="00762AF2">
        <w:rPr>
          <w:rFonts w:cs="Calibri"/>
          <w:b/>
          <w:bCs/>
        </w:rPr>
        <w:fldChar w:fldCharType="separate"/>
      </w:r>
      <w:r w:rsidR="003C2E7A">
        <w:rPr>
          <w:rFonts w:cs="Calibri"/>
          <w:b/>
          <w:bCs/>
          <w:noProof/>
        </w:rPr>
        <w:t>2</w:t>
      </w:r>
      <w:r w:rsidR="00240F81" w:rsidRPr="00762AF2">
        <w:rPr>
          <w:rFonts w:cs="Calibri"/>
          <w:b/>
          <w:bCs/>
        </w:rPr>
        <w:fldChar w:fldCharType="end"/>
      </w:r>
      <w:r w:rsidRPr="00D22697">
        <w:rPr>
          <w:b/>
        </w:rPr>
        <w:t xml:space="preserve">: </w:t>
      </w:r>
      <w:r>
        <w:rPr>
          <w:b/>
        </w:rPr>
        <w:t xml:space="preserve">RAN1 is still discussing how to configure associate ID </w:t>
      </w:r>
      <w:r w:rsidRPr="00662CE2">
        <w:rPr>
          <w:b/>
        </w:rPr>
        <w:t xml:space="preserve">with respect to </w:t>
      </w:r>
      <w:r w:rsidR="008471E7">
        <w:rPr>
          <w:b/>
        </w:rPr>
        <w:t>another</w:t>
      </w:r>
      <w:r>
        <w:rPr>
          <w:b/>
        </w:rPr>
        <w:t xml:space="preserve"> configuration (e.g. </w:t>
      </w:r>
      <w:r w:rsidRPr="00662CE2">
        <w:rPr>
          <w:b/>
        </w:rPr>
        <w:t>Set A/Set B resource configuration</w:t>
      </w:r>
      <w:r>
        <w:rPr>
          <w:b/>
        </w:rPr>
        <w:t>)</w:t>
      </w:r>
      <w:r w:rsidR="00B37E5C">
        <w:rPr>
          <w:b/>
        </w:rPr>
        <w:t>.</w:t>
      </w:r>
    </w:p>
    <w:p w14:paraId="65D102AB" w14:textId="77777777" w:rsidR="009F40AD" w:rsidRDefault="00C96A03" w:rsidP="002770E2">
      <w:pPr>
        <w:jc w:val="both"/>
        <w:rPr>
          <w:lang w:eastAsia="en-US"/>
        </w:rPr>
      </w:pPr>
      <w:r w:rsidRPr="00762AF2">
        <w:rPr>
          <w:lang w:eastAsia="en-US"/>
        </w:rPr>
        <w:t xml:space="preserve">RAN1 is discussing </w:t>
      </w:r>
      <w:r w:rsidR="00071AED">
        <w:rPr>
          <w:lang w:eastAsia="en-US"/>
        </w:rPr>
        <w:t xml:space="preserve">how to define </w:t>
      </w:r>
      <w:r w:rsidRPr="00762AF2">
        <w:rPr>
          <w:lang w:eastAsia="en-US"/>
        </w:rPr>
        <w:t>associated ID</w:t>
      </w:r>
      <w:r w:rsidR="00071AED">
        <w:rPr>
          <w:lang w:eastAsia="en-US"/>
        </w:rPr>
        <w:t xml:space="preserve"> and made following working assumption.</w:t>
      </w:r>
    </w:p>
    <w:tbl>
      <w:tblPr>
        <w:tblStyle w:val="TableGrid"/>
        <w:tblW w:w="0" w:type="auto"/>
        <w:tblLook w:val="04A0" w:firstRow="1" w:lastRow="0" w:firstColumn="1" w:lastColumn="0" w:noHBand="0" w:noVBand="1"/>
      </w:tblPr>
      <w:tblGrid>
        <w:gridCol w:w="9350"/>
      </w:tblGrid>
      <w:tr w:rsidR="00071AED" w14:paraId="68CD4573" w14:textId="77777777" w:rsidTr="00071AED">
        <w:tc>
          <w:tcPr>
            <w:tcW w:w="9350" w:type="dxa"/>
          </w:tcPr>
          <w:p w14:paraId="1E6053BB" w14:textId="77777777" w:rsidR="00071AED" w:rsidRDefault="00071AED" w:rsidP="002770E2">
            <w:pPr>
              <w:jc w:val="both"/>
              <w:rPr>
                <w:rFonts w:eastAsia="DengXian"/>
                <w:iCs/>
                <w:highlight w:val="darkYellow"/>
                <w:lang w:eastAsia="zh-CN"/>
              </w:rPr>
            </w:pPr>
            <w:r>
              <w:rPr>
                <w:rFonts w:eastAsia="DengXian" w:hint="eastAsia"/>
                <w:iCs/>
                <w:highlight w:val="darkYellow"/>
                <w:lang w:eastAsia="zh-CN"/>
              </w:rPr>
              <w:t>Working Assumption</w:t>
            </w:r>
          </w:p>
          <w:p w14:paraId="7078FF34" w14:textId="77777777" w:rsidR="00071AED" w:rsidRPr="00783B33" w:rsidRDefault="00071AED" w:rsidP="002770E2">
            <w:pPr>
              <w:jc w:val="both"/>
              <w:rPr>
                <w:iCs/>
                <w:lang w:eastAsia="x-none"/>
              </w:rPr>
            </w:pPr>
            <w:r w:rsidRPr="00783B33">
              <w:rPr>
                <w:iCs/>
                <w:lang w:eastAsia="x-none"/>
              </w:rPr>
              <w:t>Regarding the associated ID for Rel-19, the UE assum</w:t>
            </w:r>
            <w:r>
              <w:rPr>
                <w:rFonts w:eastAsia="DengXian" w:hint="eastAsia"/>
                <w:iCs/>
                <w:lang w:eastAsia="zh-CN"/>
              </w:rPr>
              <w:t xml:space="preserve">es that </w:t>
            </w:r>
            <w:r w:rsidRPr="00783B33">
              <w:rPr>
                <w:iCs/>
                <w:lang w:eastAsia="x-none"/>
              </w:rPr>
              <w:t>NW-side additional condition</w:t>
            </w:r>
            <w:r>
              <w:rPr>
                <w:rFonts w:eastAsia="DengXian" w:hint="eastAsia"/>
                <w:iCs/>
                <w:lang w:eastAsia="zh-CN"/>
              </w:rPr>
              <w:t>s</w:t>
            </w:r>
            <w:r w:rsidRPr="00783B33">
              <w:rPr>
                <w:iCs/>
                <w:lang w:eastAsia="x-none"/>
              </w:rPr>
              <w:t xml:space="preserve"> with the same associated ID </w:t>
            </w:r>
            <w:r>
              <w:rPr>
                <w:rFonts w:eastAsia="DengXian" w:hint="eastAsia"/>
                <w:iCs/>
                <w:lang w:eastAsia="zh-CN"/>
              </w:rPr>
              <w:t>are</w:t>
            </w:r>
            <w:r w:rsidRPr="00783B33">
              <w:rPr>
                <w:iCs/>
                <w:lang w:eastAsia="x-none"/>
              </w:rPr>
              <w:t xml:space="preserve"> </w:t>
            </w:r>
            <w:r>
              <w:rPr>
                <w:rFonts w:eastAsia="DengXian" w:hint="eastAsia"/>
                <w:iCs/>
                <w:lang w:eastAsia="zh-CN"/>
              </w:rPr>
              <w:t xml:space="preserve">consistent </w:t>
            </w:r>
            <w:r w:rsidRPr="00783B33">
              <w:rPr>
                <w:iCs/>
                <w:lang w:eastAsia="x-none"/>
              </w:rPr>
              <w:t xml:space="preserve">at least within a cell  </w:t>
            </w:r>
          </w:p>
          <w:p w14:paraId="6CE358A9" w14:textId="77777777" w:rsidR="00071AED" w:rsidRDefault="00071AED" w:rsidP="002770E2">
            <w:pPr>
              <w:jc w:val="both"/>
            </w:pPr>
            <w:r w:rsidRPr="00783B33">
              <w:rPr>
                <w:iCs/>
              </w:rPr>
              <w:t>FFS: whether/how UE assumption can be applicable for multiple cells (including the feasibility study)</w:t>
            </w:r>
          </w:p>
        </w:tc>
      </w:tr>
    </w:tbl>
    <w:p w14:paraId="25EE48EF" w14:textId="77777777" w:rsidR="00071AED" w:rsidRDefault="00071AED" w:rsidP="002770E2">
      <w:pPr>
        <w:jc w:val="both"/>
      </w:pPr>
    </w:p>
    <w:p w14:paraId="4170D1D7" w14:textId="77777777" w:rsidR="006625CA" w:rsidRDefault="008471E7" w:rsidP="002770E2">
      <w:pPr>
        <w:jc w:val="both"/>
      </w:pPr>
      <w:r>
        <w:t xml:space="preserve">We understand that RAN1 is discussing whether associated ID is cell specific or multiple-cell specific. Main consideration would be the granularity of categorizing the measurement. Cell specific would mean that UE categorize data per cell and per associated ID, which would require more complexity/burden in model training at UE side. In order to reduce complexity/burden, multiple cell specific ID is proposed, which can give further information to UE categorizing measurement results for similar properties. </w:t>
      </w:r>
    </w:p>
    <w:p w14:paraId="202EF6DB" w14:textId="4FFFB79C" w:rsidR="008471E7" w:rsidRPr="00D22697" w:rsidRDefault="008471E7" w:rsidP="002770E2">
      <w:pPr>
        <w:jc w:val="both"/>
        <w:rPr>
          <w:b/>
        </w:rPr>
      </w:pPr>
      <w:r w:rsidRPr="00D22697">
        <w:rPr>
          <w:b/>
        </w:rPr>
        <w:lastRenderedPageBreak/>
        <w:t>Observation</w:t>
      </w:r>
      <w:r w:rsidR="00240F81">
        <w:rPr>
          <w:b/>
        </w:rPr>
        <w:t xml:space="preserve"> </w:t>
      </w:r>
      <w:r w:rsidR="00240F81" w:rsidRPr="00762AF2">
        <w:rPr>
          <w:rFonts w:cs="Calibri"/>
          <w:b/>
          <w:bCs/>
        </w:rPr>
        <w:fldChar w:fldCharType="begin"/>
      </w:r>
      <w:r w:rsidR="00240F81" w:rsidRPr="00762AF2">
        <w:rPr>
          <w:rFonts w:cs="Calibri"/>
          <w:b/>
          <w:bCs/>
        </w:rPr>
        <w:instrText xml:space="preserve"> SEQ obj \* MERGEFORMAT </w:instrText>
      </w:r>
      <w:r w:rsidR="00240F81" w:rsidRPr="00762AF2">
        <w:rPr>
          <w:rFonts w:cs="Calibri"/>
          <w:b/>
          <w:bCs/>
        </w:rPr>
        <w:fldChar w:fldCharType="separate"/>
      </w:r>
      <w:r w:rsidR="003C2E7A">
        <w:rPr>
          <w:rFonts w:cs="Calibri"/>
          <w:b/>
          <w:bCs/>
          <w:noProof/>
        </w:rPr>
        <w:t>3</w:t>
      </w:r>
      <w:r w:rsidR="00240F81" w:rsidRPr="00762AF2">
        <w:rPr>
          <w:rFonts w:cs="Calibri"/>
          <w:b/>
          <w:bCs/>
        </w:rPr>
        <w:fldChar w:fldCharType="end"/>
      </w:r>
      <w:r w:rsidRPr="00D22697">
        <w:rPr>
          <w:b/>
        </w:rPr>
        <w:t xml:space="preserve">: </w:t>
      </w:r>
      <w:r>
        <w:rPr>
          <w:b/>
        </w:rPr>
        <w:t xml:space="preserve">RAN1 is still discussing whether associate ID is cell specific or multiple cells specific. </w:t>
      </w:r>
    </w:p>
    <w:p w14:paraId="44C0E98E" w14:textId="77777777" w:rsidR="00D15FBA" w:rsidRDefault="00D15FBA" w:rsidP="002770E2">
      <w:pPr>
        <w:jc w:val="both"/>
      </w:pPr>
      <w:r>
        <w:t xml:space="preserve">From signaling point of view, there could be </w:t>
      </w:r>
      <w:r w:rsidR="007227D9">
        <w:t>two options</w:t>
      </w:r>
      <w:r>
        <w:t xml:space="preserve"> to define associate ID to be applied for multiple cells.</w:t>
      </w:r>
    </w:p>
    <w:p w14:paraId="37CCB6B1" w14:textId="3683BC90" w:rsidR="008050D0" w:rsidRDefault="008050D0" w:rsidP="002770E2">
      <w:pPr>
        <w:pStyle w:val="ListParagraph"/>
        <w:numPr>
          <w:ilvl w:val="0"/>
          <w:numId w:val="4"/>
        </w:numPr>
        <w:jc w:val="both"/>
      </w:pPr>
      <w:r>
        <w:t>Area specific associated ID</w:t>
      </w:r>
      <w:r w:rsidR="007227D9">
        <w:t>: associated ID(s) is provided with a certain area ID similar to system information area ID in NR. Different area ID can be used to differentiate the same associated ID. Therefore, the actual associate</w:t>
      </w:r>
      <w:r w:rsidR="000A374F">
        <w:t>d</w:t>
      </w:r>
      <w:r w:rsidR="007227D9">
        <w:t xml:space="preserve"> ID is the combination of associated ID and area ID. With this approach, the same associate</w:t>
      </w:r>
      <w:r w:rsidR="000A374F">
        <w:t>d</w:t>
      </w:r>
      <w:r w:rsidR="007227D9">
        <w:t xml:space="preserve"> ID can be applied across multiple cells with the same area ID. </w:t>
      </w:r>
      <w:r w:rsidR="0066219E">
        <w:t xml:space="preserve">Allocation and mapping of area IDs to specific areas/cells should be left to implementation. At least, we can assume that area ID should be unique within a PLMN. </w:t>
      </w:r>
    </w:p>
    <w:tbl>
      <w:tblPr>
        <w:tblStyle w:val="TableGrid"/>
        <w:tblW w:w="0" w:type="auto"/>
        <w:tblLook w:val="04A0" w:firstRow="1" w:lastRow="0" w:firstColumn="1" w:lastColumn="0" w:noHBand="0" w:noVBand="1"/>
      </w:tblPr>
      <w:tblGrid>
        <w:gridCol w:w="9350"/>
      </w:tblGrid>
      <w:tr w:rsidR="007227D9" w14:paraId="5B6F7926" w14:textId="77777777" w:rsidTr="007227D9">
        <w:tc>
          <w:tcPr>
            <w:tcW w:w="9350" w:type="dxa"/>
          </w:tcPr>
          <w:p w14:paraId="4389706E" w14:textId="77777777" w:rsidR="007227D9" w:rsidRPr="007227D9" w:rsidRDefault="007227D9" w:rsidP="002770E2">
            <w:pPr>
              <w:jc w:val="both"/>
              <w:rPr>
                <w:color w:val="000000"/>
              </w:rPr>
            </w:pPr>
            <w:proofErr w:type="spellStart"/>
            <w:r w:rsidRPr="007227D9">
              <w:rPr>
                <w:rFonts w:ascii="Arial" w:hAnsi="Arial" w:cs="Arial"/>
                <w:b/>
                <w:bCs/>
                <w:i/>
                <w:iCs/>
                <w:color w:val="000000"/>
                <w:sz w:val="14"/>
                <w:szCs w:val="14"/>
              </w:rPr>
              <w:t>systemInformationAreaID</w:t>
            </w:r>
            <w:proofErr w:type="spellEnd"/>
          </w:p>
          <w:p w14:paraId="0AAAF46C" w14:textId="77777777" w:rsidR="007227D9" w:rsidRPr="007227D9" w:rsidRDefault="007227D9" w:rsidP="002770E2">
            <w:pPr>
              <w:jc w:val="both"/>
              <w:rPr>
                <w:color w:val="000000"/>
              </w:rPr>
            </w:pPr>
            <w:r w:rsidRPr="007227D9">
              <w:rPr>
                <w:rFonts w:ascii="Arial" w:hAnsi="Arial" w:cs="Arial"/>
                <w:color w:val="000000"/>
                <w:sz w:val="14"/>
                <w:szCs w:val="14"/>
              </w:rPr>
              <w:t>Indicates the system information area that the cell belongs to, if any. Any SIB with </w:t>
            </w:r>
            <w:proofErr w:type="spellStart"/>
            <w:r w:rsidRPr="007227D9">
              <w:rPr>
                <w:rFonts w:ascii="Arial" w:hAnsi="Arial" w:cs="Arial"/>
                <w:i/>
                <w:iCs/>
                <w:color w:val="000000"/>
                <w:sz w:val="14"/>
                <w:szCs w:val="14"/>
              </w:rPr>
              <w:t>areaScope</w:t>
            </w:r>
            <w:proofErr w:type="spellEnd"/>
            <w:r w:rsidRPr="007227D9">
              <w:rPr>
                <w:rFonts w:ascii="Arial" w:hAnsi="Arial" w:cs="Arial"/>
                <w:i/>
                <w:iCs/>
                <w:color w:val="000000"/>
                <w:sz w:val="14"/>
                <w:szCs w:val="14"/>
              </w:rPr>
              <w:t> </w:t>
            </w:r>
            <w:r w:rsidRPr="007227D9">
              <w:rPr>
                <w:rFonts w:ascii="Arial" w:hAnsi="Arial" w:cs="Arial"/>
                <w:color w:val="000000"/>
                <w:sz w:val="14"/>
                <w:szCs w:val="14"/>
              </w:rPr>
              <w:t>within the SI is considered to belong to this </w:t>
            </w:r>
            <w:proofErr w:type="spellStart"/>
            <w:r w:rsidRPr="007227D9">
              <w:rPr>
                <w:rFonts w:ascii="Arial" w:hAnsi="Arial" w:cs="Arial"/>
                <w:i/>
                <w:iCs/>
                <w:color w:val="000000"/>
                <w:sz w:val="14"/>
                <w:szCs w:val="14"/>
              </w:rPr>
              <w:t>systemInformationAreaID</w:t>
            </w:r>
            <w:proofErr w:type="spellEnd"/>
            <w:r w:rsidRPr="007227D9">
              <w:rPr>
                <w:rFonts w:ascii="Arial" w:hAnsi="Arial" w:cs="Arial"/>
                <w:color w:val="000000"/>
                <w:sz w:val="14"/>
                <w:szCs w:val="14"/>
              </w:rPr>
              <w:t xml:space="preserve">. The </w:t>
            </w:r>
            <w:proofErr w:type="spellStart"/>
            <w:r w:rsidRPr="007227D9">
              <w:rPr>
                <w:rFonts w:ascii="Arial" w:hAnsi="Arial" w:cs="Arial"/>
                <w:color w:val="000000"/>
                <w:sz w:val="14"/>
                <w:szCs w:val="14"/>
              </w:rPr>
              <w:t>systemInformationAreaID</w:t>
            </w:r>
            <w:proofErr w:type="spellEnd"/>
            <w:r w:rsidRPr="007227D9">
              <w:rPr>
                <w:rFonts w:ascii="Arial" w:hAnsi="Arial" w:cs="Arial"/>
                <w:color w:val="000000"/>
                <w:sz w:val="14"/>
                <w:szCs w:val="14"/>
              </w:rPr>
              <w:t xml:space="preserve"> is unique within a PLMN/SNPN.</w:t>
            </w:r>
            <w:r w:rsidRPr="007227D9">
              <w:rPr>
                <w:color w:val="000000"/>
              </w:rPr>
              <w:t> </w:t>
            </w:r>
          </w:p>
        </w:tc>
      </w:tr>
    </w:tbl>
    <w:p w14:paraId="5E877D32" w14:textId="77777777" w:rsidR="00D15FBA" w:rsidRDefault="00D15FBA" w:rsidP="002770E2">
      <w:pPr>
        <w:jc w:val="both"/>
      </w:pPr>
    </w:p>
    <w:p w14:paraId="0EDAD191" w14:textId="77777777" w:rsidR="008050D0" w:rsidRDefault="00D15FBA" w:rsidP="002770E2">
      <w:pPr>
        <w:pStyle w:val="ListParagraph"/>
        <w:numPr>
          <w:ilvl w:val="0"/>
          <w:numId w:val="4"/>
        </w:numPr>
        <w:jc w:val="both"/>
      </w:pPr>
      <w:r>
        <w:t>Globally unique associated</w:t>
      </w:r>
      <w:r w:rsidR="008050D0">
        <w:t xml:space="preserve"> IDs within PLMN</w:t>
      </w:r>
      <w:r w:rsidR="007227D9">
        <w:t>: associated IDs are consistent</w:t>
      </w:r>
      <w:r w:rsidR="0066219E">
        <w:t>ly unique</w:t>
      </w:r>
      <w:r w:rsidR="007227D9">
        <w:t xml:space="preserve"> as long as the cell </w:t>
      </w:r>
      <w:r w:rsidR="0066219E">
        <w:t xml:space="preserve">belongs to the same PLMN. Allocation and mapping of associate IDs to specific NW sided additional conditions should be left to implementation. </w:t>
      </w:r>
    </w:p>
    <w:p w14:paraId="7BA65873" w14:textId="360193BE" w:rsidR="008050D0" w:rsidRDefault="00F06C9C" w:rsidP="002770E2">
      <w:pPr>
        <w:jc w:val="both"/>
      </w:pPr>
      <w:r>
        <w:t>The t</w:t>
      </w:r>
      <w:r w:rsidR="0066219E">
        <w:t xml:space="preserve">wo options are quite similar from operation point of view i.e. requiring pre-allocation by operators to make it unique in PLMN. Area specific associated ID </w:t>
      </w:r>
      <w:r w:rsidR="00F16573">
        <w:t xml:space="preserve">would </w:t>
      </w:r>
      <w:r w:rsidR="0066219E">
        <w:t xml:space="preserve">require more specification </w:t>
      </w:r>
      <w:r w:rsidR="00A97983">
        <w:t xml:space="preserve">efforts to update associated IDs with the received area ID. </w:t>
      </w:r>
      <w:r w:rsidR="00AE3AD8">
        <w:t xml:space="preserve">Nevertheless, both options are feasible from signaling point of view. Given that RAN1 is discussing the feasibility for multiple cells, it would be useful for RAN2 to indicate that it is feasible to support area/PLM specific associated ID from signaling point of view. </w:t>
      </w:r>
    </w:p>
    <w:p w14:paraId="379C3D7F" w14:textId="7A73D802" w:rsidR="008471E7" w:rsidRDefault="008471E7" w:rsidP="002770E2">
      <w:pPr>
        <w:jc w:val="both"/>
        <w:rPr>
          <w:b/>
        </w:rPr>
      </w:pPr>
      <w:r>
        <w:rPr>
          <w:b/>
        </w:rPr>
        <w:t>Proposal</w:t>
      </w:r>
      <w:r w:rsidR="00240F81">
        <w:rPr>
          <w:b/>
        </w:rPr>
        <w:t xml:space="preserve"> </w:t>
      </w:r>
      <w:r w:rsidR="00240F81" w:rsidRPr="00762AF2">
        <w:rPr>
          <w:rFonts w:cs="Calibri"/>
          <w:b/>
          <w:bCs/>
        </w:rPr>
        <w:fldChar w:fldCharType="begin"/>
      </w:r>
      <w:r w:rsidR="00240F81" w:rsidRPr="00762AF2">
        <w:rPr>
          <w:rFonts w:cs="Calibri"/>
          <w:b/>
          <w:bCs/>
        </w:rPr>
        <w:instrText xml:space="preserve"> SEQ pro \* MERGEFORMAT  \* MERGEFORMAT </w:instrText>
      </w:r>
      <w:r w:rsidR="00240F81" w:rsidRPr="00762AF2">
        <w:rPr>
          <w:rFonts w:cs="Calibri"/>
          <w:b/>
          <w:bCs/>
        </w:rPr>
        <w:fldChar w:fldCharType="separate"/>
      </w:r>
      <w:r w:rsidR="003C2E7A">
        <w:rPr>
          <w:rFonts w:cs="Calibri"/>
          <w:b/>
          <w:bCs/>
          <w:noProof/>
        </w:rPr>
        <w:t>1</w:t>
      </w:r>
      <w:r w:rsidR="00240F81" w:rsidRPr="00762AF2">
        <w:rPr>
          <w:rFonts w:cs="Calibri"/>
          <w:b/>
          <w:bCs/>
        </w:rPr>
        <w:fldChar w:fldCharType="end"/>
      </w:r>
      <w:r w:rsidRPr="00D22697">
        <w:rPr>
          <w:b/>
        </w:rPr>
        <w:t xml:space="preserve">: </w:t>
      </w:r>
      <w:r>
        <w:rPr>
          <w:b/>
        </w:rPr>
        <w:t>RAN2 agree that it is feasible to support area/PLMN specific associate</w:t>
      </w:r>
      <w:r w:rsidR="00AE3AD8">
        <w:rPr>
          <w:b/>
        </w:rPr>
        <w:t>d</w:t>
      </w:r>
      <w:r>
        <w:rPr>
          <w:b/>
        </w:rPr>
        <w:t xml:space="preserve"> ID from signaling point of view. </w:t>
      </w:r>
    </w:p>
    <w:p w14:paraId="7FF00594" w14:textId="77777777" w:rsidR="00240F81" w:rsidRPr="00253B6A" w:rsidRDefault="00240F81" w:rsidP="00240F81">
      <w:pPr>
        <w:pStyle w:val="Heading1"/>
        <w:numPr>
          <w:ilvl w:val="0"/>
          <w:numId w:val="3"/>
        </w:numPr>
      </w:pPr>
      <w:r w:rsidRPr="00253B6A">
        <w:t>Performance monitoring</w:t>
      </w:r>
    </w:p>
    <w:p w14:paraId="3612F3CE" w14:textId="77777777" w:rsidR="00240F81" w:rsidRPr="00762AF2" w:rsidRDefault="00240F81" w:rsidP="002770E2">
      <w:pPr>
        <w:jc w:val="both"/>
        <w:rPr>
          <w:lang w:eastAsia="en-US"/>
        </w:rPr>
      </w:pPr>
      <w:r w:rsidRPr="00762AF2">
        <w:rPr>
          <w:lang w:eastAsia="en-US"/>
        </w:rPr>
        <w:t>For beam management use case, as captured in TR 38.843, RAN1 is considering two types of performance monitoring, where type 1 is NW to control LCM operation of UE-side model and type 2 is UE to control the LCM operation.</w:t>
      </w:r>
    </w:p>
    <w:p w14:paraId="101FF530" w14:textId="77777777" w:rsidR="00240F81" w:rsidRPr="00762AF2" w:rsidRDefault="00240F81" w:rsidP="003C2E7A">
      <w:pPr>
        <w:keepNext/>
        <w:jc w:val="center"/>
      </w:pPr>
      <w:r w:rsidRPr="00762AF2">
        <w:rPr>
          <w:rFonts w:eastAsia="SimSun"/>
          <w:noProof/>
          <w:lang w:val="en-GB" w:eastAsia="en-GB"/>
        </w:rPr>
        <w:drawing>
          <wp:inline distT="0" distB="0" distL="0" distR="0" wp14:anchorId="3F9A9BD5" wp14:editId="295920CF">
            <wp:extent cx="5615115" cy="1923940"/>
            <wp:effectExtent l="0" t="0" r="508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5654258" cy="1937352"/>
                    </a:xfrm>
                    <a:prstGeom prst="rect">
                      <a:avLst/>
                    </a:prstGeom>
                  </pic:spPr>
                </pic:pic>
              </a:graphicData>
            </a:graphic>
          </wp:inline>
        </w:drawing>
      </w:r>
    </w:p>
    <w:p w14:paraId="350DF3A0" w14:textId="14FB9F00" w:rsidR="00240F81" w:rsidRPr="00762AF2" w:rsidRDefault="00240F81" w:rsidP="003C2E7A">
      <w:pPr>
        <w:pStyle w:val="Caption"/>
        <w:jc w:val="center"/>
        <w:rPr>
          <w:lang w:eastAsia="en-US"/>
        </w:rPr>
      </w:pPr>
      <w:r w:rsidRPr="00762AF2">
        <w:t xml:space="preserve">Figure </w:t>
      </w:r>
      <w:fldSimple w:instr=" SEQ Figure \* ARABIC ">
        <w:r w:rsidR="003C2E7A">
          <w:rPr>
            <w:noProof/>
          </w:rPr>
          <w:t>1</w:t>
        </w:r>
      </w:fldSimple>
      <w:r w:rsidRPr="00762AF2">
        <w:t>. LCM procedure for UE-side AI/ML model.</w:t>
      </w:r>
    </w:p>
    <w:p w14:paraId="73481C03" w14:textId="77777777" w:rsidR="00240F81" w:rsidRPr="00762AF2" w:rsidRDefault="00240F81" w:rsidP="002770E2">
      <w:pPr>
        <w:jc w:val="both"/>
        <w:rPr>
          <w:u w:val="single"/>
          <w:lang w:eastAsia="en-US"/>
        </w:rPr>
      </w:pPr>
      <w:r w:rsidRPr="00762AF2">
        <w:rPr>
          <w:u w:val="single"/>
          <w:lang w:eastAsia="en-US"/>
        </w:rPr>
        <w:lastRenderedPageBreak/>
        <w:t>Contents of performance monitoring</w:t>
      </w:r>
    </w:p>
    <w:p w14:paraId="30678598" w14:textId="10B0E74D" w:rsidR="00240F81" w:rsidRPr="00762AF2" w:rsidRDefault="00240F81" w:rsidP="002770E2">
      <w:pPr>
        <w:jc w:val="both"/>
        <w:rPr>
          <w:rFonts w:cstheme="minorHAnsi"/>
          <w:lang w:eastAsia="en-US"/>
        </w:rPr>
      </w:pPr>
      <w:r w:rsidRPr="00762AF2">
        <w:rPr>
          <w:lang w:eastAsia="en-US"/>
        </w:rPr>
        <w:t>Until now, there is no RAN1 agreement that is specific to performance monitoring other than RAN1 LS on D</w:t>
      </w:r>
      <w:r w:rsidRPr="00762AF2">
        <w:rPr>
          <w:rFonts w:cstheme="minorHAnsi"/>
          <w:lang w:eastAsia="en-US"/>
        </w:rPr>
        <w:t>ata Collection Requirements and Assumptions [</w:t>
      </w:r>
      <w:r w:rsidR="008538E1">
        <w:rPr>
          <w:rFonts w:cstheme="minorHAnsi"/>
          <w:lang w:eastAsia="en-US"/>
        </w:rPr>
        <w:t>1</w:t>
      </w:r>
      <w:r w:rsidRPr="00762AF2">
        <w:rPr>
          <w:rFonts w:cstheme="minorHAnsi"/>
          <w:lang w:eastAsia="en-US"/>
        </w:rPr>
        <w:t>].</w:t>
      </w:r>
    </w:p>
    <w:p w14:paraId="0E7CDE48" w14:textId="77777777" w:rsidR="00240F81" w:rsidRPr="00762AF2" w:rsidRDefault="00240F81" w:rsidP="002770E2">
      <w:pPr>
        <w:jc w:val="both"/>
        <w:rPr>
          <w:rFonts w:cstheme="minorHAnsi"/>
          <w:lang w:eastAsia="en-US"/>
        </w:rPr>
      </w:pPr>
      <w:r w:rsidRPr="00762AF2">
        <w:rPr>
          <w:rFonts w:cstheme="minorHAnsi"/>
          <w:lang w:eastAsia="en-US"/>
        </w:rPr>
        <w:t xml:space="preserve">Based on the LS, we could consider two types of reporting. </w:t>
      </w:r>
    </w:p>
    <w:p w14:paraId="67681D43" w14:textId="77777777" w:rsidR="00240F81" w:rsidRPr="00762AF2" w:rsidRDefault="00240F81" w:rsidP="002770E2">
      <w:pPr>
        <w:pStyle w:val="ListParagraph"/>
        <w:numPr>
          <w:ilvl w:val="0"/>
          <w:numId w:val="9"/>
        </w:numPr>
        <w:jc w:val="both"/>
        <w:rPr>
          <w:rFonts w:cstheme="minorHAnsi"/>
          <w:lang w:eastAsia="en-US"/>
        </w:rPr>
      </w:pPr>
      <w:r w:rsidRPr="00762AF2">
        <w:rPr>
          <w:rFonts w:cstheme="minorHAnsi"/>
          <w:lang w:eastAsia="en-US"/>
        </w:rPr>
        <w:t xml:space="preserve">Actual prediction/measurement results: UE provides L1-RSRP and/or beam-ID(s) to gNB. The size can be variable depending on what measurement is provided and number of resources to report. </w:t>
      </w:r>
    </w:p>
    <w:p w14:paraId="20377A85" w14:textId="77777777" w:rsidR="00240F81" w:rsidRPr="00762AF2" w:rsidRDefault="00240F81" w:rsidP="002770E2">
      <w:pPr>
        <w:pStyle w:val="ListParagraph"/>
        <w:numPr>
          <w:ilvl w:val="0"/>
          <w:numId w:val="9"/>
        </w:numPr>
        <w:jc w:val="both"/>
        <w:rPr>
          <w:rFonts w:cstheme="minorHAnsi"/>
          <w:lang w:eastAsia="en-US"/>
        </w:rPr>
      </w:pPr>
      <w:r w:rsidRPr="00762AF2">
        <w:rPr>
          <w:rFonts w:cstheme="minorHAnsi"/>
          <w:lang w:eastAsia="en-US"/>
        </w:rPr>
        <w:t xml:space="preserve">Performance metric/event/management decision: in case of type 1/option 2, UE calculates the metric and provides to gNB. In this case, the amount data size is small (10s of bits). In case of Type2, it could be just UE’s decision outcome of model selection/activation/deactivation/switching/fallback. </w:t>
      </w:r>
    </w:p>
    <w:p w14:paraId="0B63F85E" w14:textId="2EEAE762" w:rsidR="00240F81" w:rsidRPr="00762AF2" w:rsidRDefault="00240F81" w:rsidP="002770E2">
      <w:pPr>
        <w:jc w:val="both"/>
        <w:rPr>
          <w:lang w:eastAsia="en-US"/>
        </w:rPr>
      </w:pPr>
      <w:r w:rsidRPr="00762AF2">
        <w:rPr>
          <w:b/>
          <w:lang w:eastAsia="en-US"/>
        </w:rPr>
        <w:t xml:space="preserve">Observation </w:t>
      </w:r>
      <w:r w:rsidRPr="00762AF2">
        <w:rPr>
          <w:rFonts w:cs="Calibri"/>
          <w:b/>
          <w:bCs/>
        </w:rPr>
        <w:fldChar w:fldCharType="begin"/>
      </w:r>
      <w:r w:rsidRPr="00762AF2">
        <w:rPr>
          <w:rFonts w:cs="Calibri"/>
          <w:b/>
          <w:bCs/>
        </w:rPr>
        <w:instrText xml:space="preserve"> SEQ obj \* MERGEFORMAT </w:instrText>
      </w:r>
      <w:r w:rsidRPr="00762AF2">
        <w:rPr>
          <w:rFonts w:cs="Calibri"/>
          <w:b/>
          <w:bCs/>
        </w:rPr>
        <w:fldChar w:fldCharType="separate"/>
      </w:r>
      <w:r w:rsidR="003C2E7A">
        <w:rPr>
          <w:rFonts w:cs="Calibri"/>
          <w:b/>
          <w:bCs/>
          <w:noProof/>
        </w:rPr>
        <w:t>4</w:t>
      </w:r>
      <w:r w:rsidRPr="00762AF2">
        <w:rPr>
          <w:rFonts w:cs="Calibri"/>
          <w:b/>
          <w:bCs/>
        </w:rPr>
        <w:fldChar w:fldCharType="end"/>
      </w:r>
      <w:r w:rsidRPr="00762AF2">
        <w:rPr>
          <w:b/>
          <w:lang w:eastAsia="en-US"/>
        </w:rPr>
        <w:t xml:space="preserve">: </w:t>
      </w:r>
      <w:r w:rsidR="00F06C9C">
        <w:rPr>
          <w:b/>
          <w:lang w:eastAsia="en-US"/>
        </w:rPr>
        <w:t>F</w:t>
      </w:r>
      <w:r w:rsidRPr="00762AF2">
        <w:rPr>
          <w:b/>
          <w:lang w:eastAsia="en-US"/>
        </w:rPr>
        <w:t xml:space="preserve">or performance monitoring reporting, the level of data size can be different depending on whether UE report actual prediction/measurement results or performance metric/event/management decision. </w:t>
      </w:r>
    </w:p>
    <w:p w14:paraId="153BDC88" w14:textId="77777777" w:rsidR="00240F81" w:rsidRPr="00762AF2" w:rsidRDefault="00240F81" w:rsidP="002770E2">
      <w:pPr>
        <w:jc w:val="both"/>
        <w:rPr>
          <w:u w:val="single"/>
          <w:lang w:eastAsia="en-US"/>
        </w:rPr>
      </w:pPr>
      <w:r w:rsidRPr="00762AF2">
        <w:rPr>
          <w:u w:val="single"/>
          <w:lang w:eastAsia="en-US"/>
        </w:rPr>
        <w:t>Delay requirement of performance monitoring</w:t>
      </w:r>
    </w:p>
    <w:p w14:paraId="34881198" w14:textId="1548A899" w:rsidR="00240F81" w:rsidRPr="00762AF2" w:rsidRDefault="00240F81" w:rsidP="002770E2">
      <w:pPr>
        <w:jc w:val="both"/>
        <w:rPr>
          <w:lang w:eastAsia="en-US"/>
        </w:rPr>
      </w:pPr>
      <w:r w:rsidRPr="00762AF2">
        <w:rPr>
          <w:lang w:eastAsia="en-US"/>
        </w:rPr>
        <w:t>As usual, three different signaling options (L1, MAC, RRC) are on the table in RAN1. From delay perspective, RAN1 concluded that the delay requirement of reporting for performance is near real time and provided that Near-real-time is e.g., several tens of msecs to a few seconds [</w:t>
      </w:r>
      <w:r w:rsidR="00BE26CD">
        <w:rPr>
          <w:rFonts w:ascii="Arial" w:hAnsi="Arial" w:cs="Arial"/>
          <w:sz w:val="18"/>
          <w:szCs w:val="18"/>
          <w:lang w:eastAsia="zh-CN"/>
        </w:rPr>
        <w:t>1]</w:t>
      </w:r>
      <w:r w:rsidRPr="00762AF2">
        <w:rPr>
          <w:lang w:eastAsia="en-US"/>
        </w:rPr>
        <w:t xml:space="preserve">. </w:t>
      </w:r>
      <w:r w:rsidR="00F06C9C">
        <w:rPr>
          <w:lang w:eastAsia="en-US"/>
        </w:rPr>
        <w:t xml:space="preserve">All </w:t>
      </w:r>
      <w:r>
        <w:rPr>
          <w:lang w:eastAsia="en-US"/>
        </w:rPr>
        <w:t>signaling options are</w:t>
      </w:r>
      <w:r w:rsidRPr="00762AF2">
        <w:rPr>
          <w:lang w:eastAsia="en-US"/>
        </w:rPr>
        <w:t xml:space="preserve"> feasible to meet near-real-time requirement. </w:t>
      </w:r>
    </w:p>
    <w:p w14:paraId="6317B2EF" w14:textId="251E93DB" w:rsidR="00240F81" w:rsidRPr="00762AF2" w:rsidRDefault="00240F81" w:rsidP="002770E2">
      <w:pPr>
        <w:jc w:val="both"/>
        <w:rPr>
          <w:lang w:eastAsia="en-US"/>
        </w:rPr>
      </w:pPr>
      <w:r w:rsidRPr="00762AF2">
        <w:rPr>
          <w:b/>
          <w:lang w:eastAsia="en-US"/>
        </w:rPr>
        <w:t xml:space="preserve">Observation </w:t>
      </w:r>
      <w:r w:rsidRPr="00762AF2">
        <w:rPr>
          <w:rFonts w:cs="Calibri"/>
          <w:b/>
          <w:bCs/>
        </w:rPr>
        <w:fldChar w:fldCharType="begin"/>
      </w:r>
      <w:r w:rsidRPr="00762AF2">
        <w:rPr>
          <w:rFonts w:cs="Calibri"/>
          <w:b/>
          <w:bCs/>
        </w:rPr>
        <w:instrText xml:space="preserve"> SEQ obj \* MERGEFORMAT </w:instrText>
      </w:r>
      <w:r w:rsidRPr="00762AF2">
        <w:rPr>
          <w:rFonts w:cs="Calibri"/>
          <w:b/>
          <w:bCs/>
        </w:rPr>
        <w:fldChar w:fldCharType="separate"/>
      </w:r>
      <w:r w:rsidR="003C2E7A">
        <w:rPr>
          <w:rFonts w:cs="Calibri"/>
          <w:b/>
          <w:bCs/>
          <w:noProof/>
        </w:rPr>
        <w:t>5</w:t>
      </w:r>
      <w:r w:rsidRPr="00762AF2">
        <w:rPr>
          <w:rFonts w:cs="Calibri"/>
          <w:b/>
          <w:bCs/>
        </w:rPr>
        <w:fldChar w:fldCharType="end"/>
      </w:r>
      <w:r w:rsidRPr="00762AF2">
        <w:rPr>
          <w:b/>
          <w:lang w:eastAsia="en-US"/>
        </w:rPr>
        <w:t xml:space="preserve">: </w:t>
      </w:r>
      <w:r w:rsidR="00F06C9C">
        <w:rPr>
          <w:b/>
          <w:lang w:eastAsia="en-US"/>
        </w:rPr>
        <w:t>F</w:t>
      </w:r>
      <w:r w:rsidRPr="00762AF2">
        <w:rPr>
          <w:b/>
          <w:lang w:eastAsia="en-US"/>
        </w:rPr>
        <w:t xml:space="preserve">or performance monitoring reporting, </w:t>
      </w:r>
      <w:r>
        <w:rPr>
          <w:b/>
          <w:lang w:eastAsia="en-US"/>
        </w:rPr>
        <w:t>all signaling options (L1, MAC, RRC signaling) are feasible to meet</w:t>
      </w:r>
      <w:r w:rsidRPr="00762AF2">
        <w:rPr>
          <w:b/>
          <w:lang w:eastAsia="en-US"/>
        </w:rPr>
        <w:t xml:space="preserve"> near-real-time requirement. </w:t>
      </w:r>
    </w:p>
    <w:p w14:paraId="1F3855F0" w14:textId="77777777" w:rsidR="00240F81" w:rsidRPr="00762AF2" w:rsidRDefault="00240F81" w:rsidP="002770E2">
      <w:pPr>
        <w:jc w:val="both"/>
        <w:rPr>
          <w:u w:val="single"/>
          <w:lang w:eastAsia="en-US"/>
        </w:rPr>
      </w:pPr>
      <w:r>
        <w:rPr>
          <w:u w:val="single"/>
          <w:lang w:eastAsia="en-US"/>
        </w:rPr>
        <w:t>Signaling Flexibility</w:t>
      </w:r>
    </w:p>
    <w:p w14:paraId="4F45AD3B" w14:textId="77777777" w:rsidR="00240F81" w:rsidRPr="00762AF2" w:rsidRDefault="00240F81" w:rsidP="002770E2">
      <w:pPr>
        <w:jc w:val="both"/>
        <w:rPr>
          <w:lang w:eastAsia="en-US"/>
        </w:rPr>
      </w:pPr>
      <w:r w:rsidRPr="00762AF2">
        <w:rPr>
          <w:lang w:eastAsia="en-US"/>
        </w:rPr>
        <w:t xml:space="preserve">Another aspect to consider is signaling flexibility. Although </w:t>
      </w:r>
      <w:r>
        <w:rPr>
          <w:lang w:eastAsia="en-US"/>
        </w:rPr>
        <w:t>L1/</w:t>
      </w:r>
      <w:r w:rsidRPr="00762AF2">
        <w:rPr>
          <w:lang w:eastAsia="en-US"/>
        </w:rPr>
        <w:t xml:space="preserve">MAC CE can provide less delay, the format is not so flexible as RRC signaling. In beam management use case, multiple beams/L1-RSRP results may be included for multiple configured resources. </w:t>
      </w:r>
      <w:r>
        <w:rPr>
          <w:lang w:eastAsia="en-US"/>
        </w:rPr>
        <w:t xml:space="preserve">If the number of configured resources to report is dynamic, more flexible signaling format would be required. </w:t>
      </w:r>
      <w:r w:rsidRPr="00762AF2">
        <w:rPr>
          <w:lang w:eastAsia="en-US"/>
        </w:rPr>
        <w:t xml:space="preserve"> </w:t>
      </w:r>
    </w:p>
    <w:p w14:paraId="3F13907E" w14:textId="5CB3253F" w:rsidR="00240F81" w:rsidRDefault="00240F81" w:rsidP="002770E2">
      <w:pPr>
        <w:jc w:val="both"/>
        <w:rPr>
          <w:rFonts w:cstheme="minorHAnsi"/>
          <w:lang w:eastAsia="en-US"/>
        </w:rPr>
      </w:pPr>
      <w:r w:rsidRPr="00762AF2">
        <w:rPr>
          <w:lang w:eastAsia="en-US"/>
        </w:rPr>
        <w:t xml:space="preserve">On the other hand, in case of </w:t>
      </w:r>
      <w:r w:rsidR="00F06C9C">
        <w:rPr>
          <w:rFonts w:cstheme="minorHAnsi"/>
          <w:lang w:eastAsia="en-US"/>
        </w:rPr>
        <w:t>p</w:t>
      </w:r>
      <w:r w:rsidR="00F06C9C" w:rsidRPr="00762AF2">
        <w:rPr>
          <w:rFonts w:cstheme="minorHAnsi"/>
          <w:lang w:eastAsia="en-US"/>
        </w:rPr>
        <w:t xml:space="preserve">erformance </w:t>
      </w:r>
      <w:r w:rsidRPr="00762AF2">
        <w:rPr>
          <w:rFonts w:cstheme="minorHAnsi"/>
          <w:lang w:eastAsia="en-US"/>
        </w:rPr>
        <w:t>metric/event/management decision, the less delay would be more beneficial to provide event situation/management decision immediately. In addition, performance metric/event/management decision requires small size of reporting.</w:t>
      </w:r>
    </w:p>
    <w:p w14:paraId="6C9B065D" w14:textId="24112216" w:rsidR="00240F81" w:rsidRDefault="00240F81" w:rsidP="002770E2">
      <w:pPr>
        <w:jc w:val="both"/>
        <w:rPr>
          <w:b/>
          <w:lang w:eastAsia="en-US"/>
        </w:rPr>
      </w:pPr>
      <w:r w:rsidRPr="00762AF2">
        <w:rPr>
          <w:b/>
          <w:lang w:eastAsia="en-US"/>
        </w:rPr>
        <w:t xml:space="preserve">Observation </w:t>
      </w:r>
      <w:r w:rsidRPr="00762AF2">
        <w:rPr>
          <w:rFonts w:cs="Calibri"/>
          <w:b/>
          <w:bCs/>
        </w:rPr>
        <w:fldChar w:fldCharType="begin"/>
      </w:r>
      <w:r w:rsidRPr="00762AF2">
        <w:rPr>
          <w:rFonts w:cs="Calibri"/>
          <w:b/>
          <w:bCs/>
        </w:rPr>
        <w:instrText xml:space="preserve"> SEQ obj \* MERGEFORMAT </w:instrText>
      </w:r>
      <w:r w:rsidRPr="00762AF2">
        <w:rPr>
          <w:rFonts w:cs="Calibri"/>
          <w:b/>
          <w:bCs/>
        </w:rPr>
        <w:fldChar w:fldCharType="separate"/>
      </w:r>
      <w:r w:rsidR="003C2E7A">
        <w:rPr>
          <w:rFonts w:cs="Calibri"/>
          <w:b/>
          <w:bCs/>
          <w:noProof/>
        </w:rPr>
        <w:t>6</w:t>
      </w:r>
      <w:r w:rsidRPr="00762AF2">
        <w:rPr>
          <w:rFonts w:cs="Calibri"/>
          <w:b/>
          <w:bCs/>
        </w:rPr>
        <w:fldChar w:fldCharType="end"/>
      </w:r>
      <w:r w:rsidRPr="00762AF2">
        <w:rPr>
          <w:b/>
          <w:lang w:eastAsia="en-US"/>
        </w:rPr>
        <w:t>:</w:t>
      </w:r>
      <w:r>
        <w:rPr>
          <w:b/>
          <w:lang w:eastAsia="en-US"/>
        </w:rPr>
        <w:t xml:space="preserve"> </w:t>
      </w:r>
      <w:r w:rsidR="00F06C9C">
        <w:rPr>
          <w:b/>
          <w:lang w:eastAsia="en-US"/>
        </w:rPr>
        <w:t>F</w:t>
      </w:r>
      <w:r>
        <w:rPr>
          <w:b/>
          <w:lang w:eastAsia="en-US"/>
        </w:rPr>
        <w:t>or performance monitoring reporting, depending on the size and characteristics of reporting for performance monitoring, it may require more flexible format.</w:t>
      </w:r>
    </w:p>
    <w:p w14:paraId="125020C3" w14:textId="77777777" w:rsidR="00240F81" w:rsidRDefault="00240F81" w:rsidP="002770E2">
      <w:pPr>
        <w:jc w:val="both"/>
        <w:rPr>
          <w:lang w:eastAsia="en-US"/>
        </w:rPr>
      </w:pPr>
      <w:r>
        <w:rPr>
          <w:lang w:eastAsia="en-US"/>
        </w:rPr>
        <w:t xml:space="preserve">Since RAN1’s discussion on options for measurement results and performance metric, it would be early for RAN2 to identify which signaling option is more suitable. </w:t>
      </w:r>
    </w:p>
    <w:p w14:paraId="27059FCC" w14:textId="277B2991" w:rsidR="00240F81" w:rsidRDefault="00240F81" w:rsidP="002770E2">
      <w:pPr>
        <w:jc w:val="both"/>
        <w:rPr>
          <w:b/>
          <w:lang w:eastAsia="en-US"/>
        </w:rPr>
      </w:pPr>
      <w:r w:rsidRPr="00762AF2">
        <w:rPr>
          <w:b/>
          <w:lang w:eastAsia="en-US"/>
        </w:rPr>
        <w:t xml:space="preserve">Proposal </w:t>
      </w:r>
      <w:bookmarkStart w:id="1" w:name="_Hlk173750451"/>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3C2E7A">
        <w:rPr>
          <w:rFonts w:cs="Calibri"/>
          <w:b/>
          <w:bCs/>
          <w:noProof/>
        </w:rPr>
        <w:t>2</w:t>
      </w:r>
      <w:r w:rsidRPr="00762AF2">
        <w:rPr>
          <w:rFonts w:cs="Calibri"/>
          <w:b/>
          <w:bCs/>
        </w:rPr>
        <w:fldChar w:fldCharType="end"/>
      </w:r>
      <w:bookmarkEnd w:id="1"/>
      <w:r w:rsidRPr="00762AF2">
        <w:rPr>
          <w:b/>
          <w:lang w:eastAsia="en-US"/>
        </w:rPr>
        <w:t xml:space="preserve">: RAN2 </w:t>
      </w:r>
      <w:r>
        <w:rPr>
          <w:b/>
          <w:lang w:eastAsia="en-US"/>
        </w:rPr>
        <w:t xml:space="preserve">wait for RAN1 inputs to identify signaling option for </w:t>
      </w:r>
      <w:r w:rsidRPr="00762AF2">
        <w:rPr>
          <w:b/>
          <w:lang w:eastAsia="en-US"/>
        </w:rPr>
        <w:t xml:space="preserve">performance </w:t>
      </w:r>
      <w:r>
        <w:rPr>
          <w:b/>
          <w:lang w:eastAsia="en-US"/>
        </w:rPr>
        <w:t>monitoring</w:t>
      </w:r>
      <w:r w:rsidRPr="00762AF2">
        <w:rPr>
          <w:b/>
          <w:lang w:eastAsia="en-US"/>
        </w:rPr>
        <w:t xml:space="preserve">. </w:t>
      </w:r>
    </w:p>
    <w:p w14:paraId="418FE476" w14:textId="6065E56C" w:rsidR="00EB6F6F" w:rsidRDefault="00ED0173" w:rsidP="00EB6F6F">
      <w:pPr>
        <w:pStyle w:val="Heading1"/>
        <w:numPr>
          <w:ilvl w:val="0"/>
          <w:numId w:val="3"/>
        </w:numPr>
      </w:pPr>
      <w:r>
        <w:t xml:space="preserve">Procedure for </w:t>
      </w:r>
      <w:r w:rsidR="00EB6F6F">
        <w:t>Data collection for training</w:t>
      </w:r>
    </w:p>
    <w:p w14:paraId="183D679D" w14:textId="77777777" w:rsidR="00EB6F6F" w:rsidRDefault="00EB6F6F" w:rsidP="00EB6F6F">
      <w:pPr>
        <w:pStyle w:val="Heading1"/>
        <w:numPr>
          <w:ilvl w:val="1"/>
          <w:numId w:val="3"/>
        </w:numPr>
      </w:pPr>
      <w:r>
        <w:t>RAN1 status</w:t>
      </w:r>
    </w:p>
    <w:p w14:paraId="06BCB9BF" w14:textId="77777777" w:rsidR="00EB6F6F" w:rsidRDefault="00EB6F6F" w:rsidP="00EB6F6F">
      <w:r>
        <w:t xml:space="preserve">In RAN1, the following has been agreed related to training. </w:t>
      </w:r>
    </w:p>
    <w:tbl>
      <w:tblPr>
        <w:tblStyle w:val="TableGrid"/>
        <w:tblW w:w="0" w:type="auto"/>
        <w:tblLook w:val="04A0" w:firstRow="1" w:lastRow="0" w:firstColumn="1" w:lastColumn="0" w:noHBand="0" w:noVBand="1"/>
      </w:tblPr>
      <w:tblGrid>
        <w:gridCol w:w="9350"/>
      </w:tblGrid>
      <w:tr w:rsidR="00EB6F6F" w14:paraId="6FDAC139" w14:textId="77777777" w:rsidTr="00155478">
        <w:tc>
          <w:tcPr>
            <w:tcW w:w="9350" w:type="dxa"/>
          </w:tcPr>
          <w:p w14:paraId="112E8159" w14:textId="77777777" w:rsidR="00EB6F6F" w:rsidRPr="00667AE8" w:rsidRDefault="00EB6F6F" w:rsidP="00155478">
            <w:pPr>
              <w:rPr>
                <w:rFonts w:eastAsia="DengXian"/>
                <w:lang w:eastAsia="zh-CN"/>
              </w:rPr>
            </w:pPr>
            <w:r w:rsidRPr="00667AE8">
              <w:rPr>
                <w:rFonts w:eastAsia="Times New Roman"/>
              </w:rPr>
              <w:lastRenderedPageBreak/>
              <w:t xml:space="preserve">For UE sided model in beam management, </w:t>
            </w:r>
            <w:r w:rsidRPr="009E6238">
              <w:rPr>
                <w:rFonts w:eastAsia="Times New Roman"/>
              </w:rPr>
              <w:t>support</w:t>
            </w:r>
            <w:r w:rsidRPr="00667AE8">
              <w:rPr>
                <w:rFonts w:eastAsia="Times New Roman"/>
                <w:color w:val="FF0000"/>
              </w:rPr>
              <w:t xml:space="preserve"> </w:t>
            </w:r>
            <w:r w:rsidRPr="00667AE8">
              <w:rPr>
                <w:rFonts w:eastAsia="Times New Roman"/>
              </w:rPr>
              <w:t>associated ID</w:t>
            </w:r>
          </w:p>
          <w:p w14:paraId="4024E635" w14:textId="77777777" w:rsidR="00EB6F6F" w:rsidRPr="003D0E89" w:rsidRDefault="00EB6F6F" w:rsidP="00EB6F6F">
            <w:pPr>
              <w:numPr>
                <w:ilvl w:val="0"/>
                <w:numId w:val="16"/>
              </w:numPr>
              <w:tabs>
                <w:tab w:val="left" w:pos="360"/>
                <w:tab w:val="left" w:pos="709"/>
              </w:tabs>
              <w:rPr>
                <w:rFonts w:eastAsia="Times New Roman"/>
              </w:rPr>
            </w:pPr>
            <w:r w:rsidRPr="003D0E89">
              <w:rPr>
                <w:rFonts w:eastAsia="DengXian" w:hint="eastAsia"/>
                <w:lang w:eastAsia="zh-CN"/>
              </w:rPr>
              <w:t>[Working Assumption]</w:t>
            </w:r>
          </w:p>
          <w:p w14:paraId="62A065E7" w14:textId="77777777" w:rsidR="00EB6F6F" w:rsidRPr="003D0E89" w:rsidRDefault="00EB6F6F" w:rsidP="00EB6F6F">
            <w:pPr>
              <w:numPr>
                <w:ilvl w:val="1"/>
                <w:numId w:val="16"/>
              </w:numPr>
              <w:tabs>
                <w:tab w:val="left" w:pos="360"/>
                <w:tab w:val="left" w:pos="709"/>
              </w:tabs>
              <w:rPr>
                <w:rFonts w:eastAsia="Times New Roman"/>
              </w:rPr>
            </w:pPr>
            <w:r w:rsidRPr="003D0E89">
              <w:rPr>
                <w:rFonts w:eastAsia="Times New Roman"/>
              </w:rPr>
              <w:t>The associated ID</w:t>
            </w:r>
            <w:r w:rsidRPr="003D0E89">
              <w:rPr>
                <w:rFonts w:eastAsia="DengXian" w:hint="eastAsia"/>
                <w:lang w:eastAsia="zh-CN"/>
              </w:rPr>
              <w:t xml:space="preserve"> </w:t>
            </w:r>
            <w:r w:rsidRPr="003D0E89">
              <w:rPr>
                <w:rFonts w:eastAsia="Times New Roman"/>
              </w:rPr>
              <w:t>at least can be configured</w:t>
            </w:r>
            <w:r w:rsidRPr="003D0E89">
              <w:rPr>
                <w:rFonts w:eastAsia="DengXian" w:hint="eastAsia"/>
                <w:lang w:eastAsia="zh-CN"/>
              </w:rPr>
              <w:t xml:space="preserve"> </w:t>
            </w:r>
            <w:r w:rsidRPr="003D0E89">
              <w:rPr>
                <w:rFonts w:eastAsia="Times New Roman"/>
              </w:rPr>
              <w:t xml:space="preserve">within CSI framework </w:t>
            </w:r>
          </w:p>
          <w:p w14:paraId="3E724947" w14:textId="77777777" w:rsidR="00EB6F6F" w:rsidRPr="003D0E89" w:rsidRDefault="00EB6F6F" w:rsidP="00EB6F6F">
            <w:pPr>
              <w:pStyle w:val="ListParagraph"/>
              <w:numPr>
                <w:ilvl w:val="2"/>
                <w:numId w:val="16"/>
              </w:numPr>
              <w:tabs>
                <w:tab w:val="left" w:pos="360"/>
                <w:tab w:val="left" w:pos="1080"/>
              </w:tabs>
              <w:contextualSpacing w:val="0"/>
              <w:rPr>
                <w:rFonts w:eastAsia="Times New Roman"/>
              </w:rPr>
            </w:pPr>
            <w:r w:rsidRPr="003D0E89">
              <w:t>FFS on details</w:t>
            </w:r>
          </w:p>
          <w:p w14:paraId="4171F405" w14:textId="77777777" w:rsidR="00EB6F6F" w:rsidRPr="003D0E89" w:rsidRDefault="00EB6F6F" w:rsidP="00EB6F6F">
            <w:pPr>
              <w:pStyle w:val="ListParagraph"/>
              <w:numPr>
                <w:ilvl w:val="2"/>
                <w:numId w:val="16"/>
              </w:numPr>
              <w:tabs>
                <w:tab w:val="left" w:pos="360"/>
                <w:tab w:val="left" w:pos="1080"/>
              </w:tabs>
              <w:contextualSpacing w:val="0"/>
              <w:rPr>
                <w:rFonts w:eastAsia="Times New Roman"/>
              </w:rPr>
            </w:pPr>
            <w:r w:rsidRPr="003D0E89">
              <w:t>FFS on whether/how to configure/indicate the associated ID via other signal(s) and/or in other procedure(s)/framework(s)</w:t>
            </w:r>
          </w:p>
          <w:p w14:paraId="4BAB4BBE" w14:textId="77777777" w:rsidR="00EB6F6F" w:rsidRPr="00667AE8" w:rsidRDefault="00EB6F6F" w:rsidP="00EB6F6F">
            <w:pPr>
              <w:numPr>
                <w:ilvl w:val="0"/>
                <w:numId w:val="16"/>
              </w:numPr>
              <w:tabs>
                <w:tab w:val="left" w:pos="360"/>
              </w:tabs>
              <w:ind w:left="709"/>
              <w:rPr>
                <w:rFonts w:eastAsia="Times New Roman"/>
                <w:lang w:eastAsia="zh-CN"/>
              </w:rPr>
            </w:pPr>
            <w:r w:rsidRPr="00667AE8">
              <w:rPr>
                <w:rFonts w:eastAsia="Times New Roman"/>
                <w:lang w:eastAsia="zh-CN"/>
              </w:rPr>
              <w:t xml:space="preserve">UE may assume the </w:t>
            </w:r>
            <w:r w:rsidRPr="00503AC8">
              <w:rPr>
                <w:rFonts w:eastAsia="DengXian" w:hint="eastAsia"/>
                <w:highlight w:val="yellow"/>
                <w:lang w:eastAsia="zh-CN"/>
              </w:rPr>
              <w:t xml:space="preserve">similar </w:t>
            </w:r>
            <w:r w:rsidRPr="00503AC8">
              <w:rPr>
                <w:rFonts w:eastAsia="Times New Roman"/>
                <w:highlight w:val="yellow"/>
                <w:lang w:eastAsia="zh-CN"/>
              </w:rPr>
              <w:t>properties</w:t>
            </w:r>
            <w:r w:rsidRPr="00667AE8">
              <w:rPr>
                <w:rFonts w:eastAsia="Times New Roman"/>
                <w:lang w:eastAsia="zh-CN"/>
              </w:rPr>
              <w:t xml:space="preserve"> of a DL Tx beam or beam set/list associated with the same associated ID</w:t>
            </w:r>
          </w:p>
          <w:p w14:paraId="05858F65" w14:textId="77777777" w:rsidR="00EB6F6F" w:rsidRDefault="00EB6F6F" w:rsidP="00EB6F6F">
            <w:pPr>
              <w:pStyle w:val="ListParagraph"/>
              <w:numPr>
                <w:ilvl w:val="1"/>
                <w:numId w:val="15"/>
              </w:numPr>
              <w:spacing w:after="180"/>
              <w:contextualSpacing w:val="0"/>
            </w:pPr>
            <w:r w:rsidRPr="00667AE8">
              <w:t xml:space="preserve">FFS: whether/how to define </w:t>
            </w:r>
            <w:r w:rsidRPr="00667AE8">
              <w:rPr>
                <w:i/>
                <w:iCs/>
              </w:rPr>
              <w:t>similar properties</w:t>
            </w:r>
            <w:r w:rsidRPr="00667AE8">
              <w:t xml:space="preserve"> of a DL Tx beam or beam set/list</w:t>
            </w:r>
          </w:p>
        </w:tc>
      </w:tr>
    </w:tbl>
    <w:p w14:paraId="36339601" w14:textId="77777777" w:rsidR="00EB6F6F" w:rsidRDefault="00EB6F6F" w:rsidP="00EB6F6F"/>
    <w:p w14:paraId="740E6639" w14:textId="77777777" w:rsidR="00EB6F6F" w:rsidRDefault="00EB6F6F" w:rsidP="00EB6F6F">
      <w:r>
        <w:t xml:space="preserve">Although it is a big step for UE-sided model LCM, it might be still not enough to design signaling framework for data collection for training or even if it is necessary to require a separate signaling design. </w:t>
      </w:r>
    </w:p>
    <w:p w14:paraId="67748BF2" w14:textId="77777777" w:rsidR="00EB6F6F" w:rsidRDefault="00EB6F6F" w:rsidP="00EB6F6F">
      <w:r>
        <w:t xml:space="preserve">However, it might be also a good exercise to discuss high level procedure to check companies’ understanding and view. </w:t>
      </w:r>
    </w:p>
    <w:p w14:paraId="7D29AAD6" w14:textId="77777777" w:rsidR="00EB6F6F" w:rsidRDefault="00EB6F6F" w:rsidP="00EB6F6F">
      <w:pPr>
        <w:pStyle w:val="Heading1"/>
        <w:numPr>
          <w:ilvl w:val="1"/>
          <w:numId w:val="3"/>
        </w:numPr>
      </w:pPr>
      <w:r>
        <w:t>Data collection for training</w:t>
      </w:r>
    </w:p>
    <w:p w14:paraId="428BD179" w14:textId="77777777" w:rsidR="00EB6F6F" w:rsidRDefault="00EB6F6F" w:rsidP="00EB6F6F">
      <w:r>
        <w:t xml:space="preserve">The UE could collect data set for UE-side model training with various approaches. </w:t>
      </w:r>
    </w:p>
    <w:p w14:paraId="08EFE102" w14:textId="77777777" w:rsidR="00EB6F6F" w:rsidRDefault="00EB6F6F" w:rsidP="00EB6F6F">
      <w:pPr>
        <w:pStyle w:val="ListParagraph"/>
        <w:numPr>
          <w:ilvl w:val="0"/>
          <w:numId w:val="17"/>
        </w:numPr>
      </w:pPr>
      <w:r>
        <w:t xml:space="preserve">NW assisted data collection for training: In order to collect data for interested CSI-RS set A/B, the straightforward way is for NW to configure CSI-RS set.  </w:t>
      </w:r>
    </w:p>
    <w:p w14:paraId="7597B93A" w14:textId="754B2BD9" w:rsidR="00EB6F6F" w:rsidRDefault="00EB6F6F" w:rsidP="00EB6F6F">
      <w:pPr>
        <w:pStyle w:val="ListParagraph"/>
        <w:numPr>
          <w:ilvl w:val="0"/>
          <w:numId w:val="17"/>
        </w:numPr>
      </w:pPr>
      <w:r>
        <w:t xml:space="preserve">NW transparent data collection for training: in this case, UE vendor may train UE side model via offline training and collect data for training without dedicate network configuration. For example, the UE can collect measurement results while it is operated with legacy configuration (i.e. non-AI/ML feature). Alternatively, the UE vendor can coordinate with NW vendors to get specific network configuration information and collect data set. However, given that this can be achieved without NW support, there would be no spec impact. </w:t>
      </w:r>
    </w:p>
    <w:p w14:paraId="58A9EC6A" w14:textId="77777777" w:rsidR="00EB6F6F" w:rsidRDefault="00EB6F6F" w:rsidP="00EB6F6F">
      <w:r>
        <w:t xml:space="preserve">Observation: for data collection for training, both NW assisted data collection and NW transparent data collection can be applicable. </w:t>
      </w:r>
    </w:p>
    <w:p w14:paraId="09DF9293" w14:textId="2D6642E1" w:rsidR="00EB6F6F" w:rsidRDefault="00EB6F6F" w:rsidP="00EB6F6F">
      <w:r>
        <w:t>It is reasonable for RAN2 to focus on NW assisted data collection for training</w:t>
      </w:r>
      <w:r w:rsidR="007738F9">
        <w:t xml:space="preserve"> because there is no spec impact with NW transparent data collection</w:t>
      </w:r>
      <w:r>
        <w:t xml:space="preserve">. However, we should keep in mind that NW assisted data collection is not mandatory to train UE-side model. </w:t>
      </w:r>
    </w:p>
    <w:p w14:paraId="6106D2BD" w14:textId="6C3E908F" w:rsidR="00EB6F6F" w:rsidRPr="00F617B9" w:rsidRDefault="00EB6F6F" w:rsidP="00EB6F6F">
      <w:pPr>
        <w:rPr>
          <w:b/>
        </w:rPr>
      </w:pPr>
      <w:r w:rsidRPr="00F617B9">
        <w:rPr>
          <w:b/>
        </w:rPr>
        <w:t>Proposal</w:t>
      </w:r>
      <w:r>
        <w:rPr>
          <w:b/>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3C2E7A">
        <w:rPr>
          <w:rFonts w:cs="Calibri"/>
          <w:b/>
          <w:bCs/>
          <w:noProof/>
        </w:rPr>
        <w:t>3</w:t>
      </w:r>
      <w:r w:rsidRPr="00762AF2">
        <w:rPr>
          <w:rFonts w:cs="Calibri"/>
          <w:b/>
          <w:bCs/>
        </w:rPr>
        <w:fldChar w:fldCharType="end"/>
      </w:r>
      <w:r w:rsidRPr="00F617B9">
        <w:rPr>
          <w:b/>
        </w:rPr>
        <w:t xml:space="preserve">: RAN2 focus on NW assisted data collection for training but make it optional for UE. </w:t>
      </w:r>
    </w:p>
    <w:p w14:paraId="5DCF857C" w14:textId="5FDE296D" w:rsidR="00EB6F6F" w:rsidRDefault="00EB6F6F" w:rsidP="00EB6F6F">
      <w:pPr>
        <w:pStyle w:val="Heading1"/>
        <w:numPr>
          <w:ilvl w:val="1"/>
          <w:numId w:val="3"/>
        </w:numPr>
      </w:pPr>
      <w:r>
        <w:t>NW assisted data collection for training</w:t>
      </w:r>
    </w:p>
    <w:p w14:paraId="7D40C44E" w14:textId="77777777" w:rsidR="00EB6F6F" w:rsidRDefault="00EB6F6F" w:rsidP="00EB6F6F"/>
    <w:p w14:paraId="38B7D182" w14:textId="1F7238C1" w:rsidR="00EB6F6F" w:rsidRDefault="00ED0173" w:rsidP="00EB6F6F">
      <w:r>
        <w:t xml:space="preserve">In this section, </w:t>
      </w:r>
      <w:r w:rsidR="00EB6F6F">
        <w:t>NW assisted data collection for training</w:t>
      </w:r>
      <w:r>
        <w:t xml:space="preserve"> is discussed in more detail. </w:t>
      </w:r>
    </w:p>
    <w:p w14:paraId="6D0CAEDD" w14:textId="77777777" w:rsidR="00EB6F6F" w:rsidRDefault="00EB6F6F" w:rsidP="00EB6F6F">
      <w:pPr>
        <w:rPr>
          <w:b/>
          <w:u w:val="single"/>
        </w:rPr>
      </w:pPr>
      <w:r w:rsidRPr="009874D3">
        <w:rPr>
          <w:b/>
          <w:u w:val="single"/>
        </w:rPr>
        <w:t xml:space="preserve">Initiation of data collection </w:t>
      </w:r>
      <w:r>
        <w:rPr>
          <w:b/>
          <w:u w:val="single"/>
        </w:rPr>
        <w:t>procedure</w:t>
      </w:r>
    </w:p>
    <w:p w14:paraId="6ABBB986" w14:textId="656E6E58" w:rsidR="00ED0173" w:rsidRDefault="00ED0173" w:rsidP="00ED0173">
      <w:r>
        <w:t>It is noted that RAN1 assume</w:t>
      </w:r>
      <w:r w:rsidR="00574AC2">
        <w:t>s</w:t>
      </w:r>
      <w:r>
        <w:t xml:space="preserve"> that NW will not explicitly indicate the purpose of configuration e.g. whether it is inference, performance monitoring </w:t>
      </w:r>
      <w:r w:rsidR="00574AC2">
        <w:t>or</w:t>
      </w:r>
      <w:r>
        <w:t xml:space="preserve"> </w:t>
      </w:r>
      <w:r w:rsidR="00574AC2">
        <w:t>training</w:t>
      </w:r>
      <w:r>
        <w:t xml:space="preserve">. However, it is also considered that </w:t>
      </w:r>
      <w:proofErr w:type="spellStart"/>
      <w:r>
        <w:t>gNB</w:t>
      </w:r>
      <w:proofErr w:type="spellEnd"/>
      <w:r>
        <w:t xml:space="preserve"> </w:t>
      </w:r>
      <w:r w:rsidR="00574AC2">
        <w:t xml:space="preserve">would </w:t>
      </w:r>
      <w:r>
        <w:t xml:space="preserve">configure CSI-RS resource for training purpose i.e. without associating CSI-RS reporting. </w:t>
      </w:r>
    </w:p>
    <w:p w14:paraId="33B7AAA1" w14:textId="77777777" w:rsidR="001C447D" w:rsidRDefault="00ED0173" w:rsidP="00ED0173">
      <w:r>
        <w:lastRenderedPageBreak/>
        <w:t xml:space="preserve">However, </w:t>
      </w:r>
      <w:r w:rsidR="00EB6F6F">
        <w:t xml:space="preserve">it is not clear how or when NW provides a certain configuration for data collection </w:t>
      </w:r>
      <w:r>
        <w:t xml:space="preserve">for training </w:t>
      </w:r>
      <w:r w:rsidR="00EB6F6F">
        <w:t xml:space="preserve">yet. We could discuss all possible options from signaling point of view. </w:t>
      </w:r>
    </w:p>
    <w:p w14:paraId="216009EB" w14:textId="59F3D67C" w:rsidR="00EB6F6F" w:rsidRDefault="00EB6F6F" w:rsidP="001C447D">
      <w:pPr>
        <w:pStyle w:val="ListParagraph"/>
        <w:numPr>
          <w:ilvl w:val="0"/>
          <w:numId w:val="18"/>
        </w:numPr>
      </w:pPr>
      <w:r>
        <w:t xml:space="preserve">Option 1: NW identify the need of training and required configuration via UE capability. </w:t>
      </w:r>
    </w:p>
    <w:p w14:paraId="7C6935C3" w14:textId="77777777" w:rsidR="00EB6F6F" w:rsidRDefault="00EB6F6F" w:rsidP="00EB6F6F">
      <w:pPr>
        <w:pStyle w:val="ListParagraph"/>
        <w:numPr>
          <w:ilvl w:val="0"/>
          <w:numId w:val="18"/>
        </w:numPr>
      </w:pPr>
      <w:r>
        <w:t xml:space="preserve">Option 2: UE request the need of training and required configuration. </w:t>
      </w:r>
      <w:r w:rsidRPr="00724099">
        <w:t>As usual, in order for UE to request,</w:t>
      </w:r>
      <w:r>
        <w:t xml:space="preserve"> NW should allow UE request. </w:t>
      </w:r>
    </w:p>
    <w:p w14:paraId="6B407F49" w14:textId="77777777" w:rsidR="00EB6F6F" w:rsidRDefault="00EB6F6F" w:rsidP="00EB6F6F">
      <w:pPr>
        <w:pStyle w:val="ListParagraph"/>
        <w:numPr>
          <w:ilvl w:val="0"/>
          <w:numId w:val="18"/>
        </w:numPr>
      </w:pPr>
      <w:r>
        <w:t xml:space="preserve">Option 3: NW identify the need of training and required configuration during applicable functionality configuration and/or performance monitoring. </w:t>
      </w:r>
    </w:p>
    <w:p w14:paraId="246000B1" w14:textId="09CE31CA" w:rsidR="00EB6F6F" w:rsidRDefault="004A4CD6" w:rsidP="00EB6F6F">
      <w:r>
        <w:t xml:space="preserve">Option 1 </w:t>
      </w:r>
      <w:r w:rsidR="00953ED8">
        <w:t>only might be tricky</w:t>
      </w:r>
      <w:r>
        <w:t xml:space="preserve"> given that UE cannot update dynamically the status after NW provides configuration </w:t>
      </w:r>
      <w:r w:rsidR="00ED0173" w:rsidRPr="00ED0173">
        <w:t>for data collection for training</w:t>
      </w:r>
      <w:r>
        <w:t xml:space="preserve">. </w:t>
      </w:r>
      <w:r w:rsidR="00953ED8">
        <w:t>On the other hands, option 2 and option 3</w:t>
      </w:r>
      <w:r w:rsidR="00EB6F6F">
        <w:t xml:space="preserve"> seem feasible to support from signaling point of view. However, we need to first understand to decide which options is most practical and useful because it is not so desirable to specify multiple options unless it is highly required. </w:t>
      </w:r>
    </w:p>
    <w:p w14:paraId="120752CE" w14:textId="77777777" w:rsidR="00EB6F6F" w:rsidRDefault="00EB6F6F" w:rsidP="00EB6F6F">
      <w:r>
        <w:t xml:space="preserve">One thing to discuss is which signaling would be involved. In option 1, it is obvious that it will rely on UE capability signaling. In option 2, given that configuration of data collection would require RRC signaling considering CSI-RS set A/B configuration, UE request signaling is likely based on RRC signaling. In option 3, given that it is implicitly identified, additional signaling may not be required unless UE need to provide additional information e.g. preferred configuration for data collection. </w:t>
      </w:r>
    </w:p>
    <w:p w14:paraId="3E006DC5" w14:textId="325C06A3" w:rsidR="00EB6F6F" w:rsidRPr="00FC11E3" w:rsidRDefault="00EB6F6F" w:rsidP="00EB6F6F">
      <w:pPr>
        <w:rPr>
          <w:b/>
        </w:rPr>
      </w:pPr>
      <w:r w:rsidRPr="00FC11E3">
        <w:rPr>
          <w:b/>
        </w:rPr>
        <w:t>Proposal</w:t>
      </w:r>
      <w:r>
        <w:rPr>
          <w:b/>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3C2E7A">
        <w:rPr>
          <w:rFonts w:cs="Calibri"/>
          <w:b/>
          <w:bCs/>
          <w:noProof/>
        </w:rPr>
        <w:t>4</w:t>
      </w:r>
      <w:r w:rsidRPr="00762AF2">
        <w:rPr>
          <w:rFonts w:cs="Calibri"/>
          <w:b/>
          <w:bCs/>
        </w:rPr>
        <w:fldChar w:fldCharType="end"/>
      </w:r>
      <w:r w:rsidRPr="00FC11E3">
        <w:rPr>
          <w:b/>
        </w:rPr>
        <w:t xml:space="preserve">: RAN2 discuss the following potential signaling options to initiate </w:t>
      </w:r>
      <w:r w:rsidR="00ED0173" w:rsidRPr="00ED0173">
        <w:rPr>
          <w:b/>
        </w:rPr>
        <w:t>for data collection for training</w:t>
      </w:r>
      <w:r w:rsidRPr="00FC11E3">
        <w:rPr>
          <w:b/>
        </w:rPr>
        <w:t xml:space="preserve"> procedure; 1) UE capability, 2) UE request and 3) implicit initiation. </w:t>
      </w:r>
    </w:p>
    <w:p w14:paraId="160A7837" w14:textId="77777777" w:rsidR="00EB6F6F" w:rsidRDefault="00EB6F6F" w:rsidP="00EB6F6F">
      <w:pPr>
        <w:rPr>
          <w:b/>
          <w:u w:val="single"/>
        </w:rPr>
      </w:pPr>
      <w:r>
        <w:rPr>
          <w:b/>
          <w:u w:val="single"/>
        </w:rPr>
        <w:t xml:space="preserve">NW configuration for data collection </w:t>
      </w:r>
    </w:p>
    <w:p w14:paraId="2AB28869" w14:textId="77777777" w:rsidR="00EB6F6F" w:rsidRDefault="00EB6F6F" w:rsidP="00EB6F6F">
      <w:r>
        <w:t xml:space="preserve">Based on RAN1 discussion, UE should be aware of associated ID to ensure consistency between training and inference. In that sense, it is reasonable to assume that existing CSI-RS configuration can be reused to configure associated ID and CSI-RS set A/set B.  Although many details related to assistance ID are FFS, we could assume that existing RRC signaling (i.e. </w:t>
      </w:r>
      <w:proofErr w:type="spellStart"/>
      <w:r>
        <w:t>RRCReconfiguration</w:t>
      </w:r>
      <w:proofErr w:type="spellEnd"/>
      <w:r>
        <w:t xml:space="preserve">) is used to provide configuration for data collection in high level. </w:t>
      </w:r>
    </w:p>
    <w:p w14:paraId="1E27E0FD" w14:textId="2D0A3FB4" w:rsidR="00EB6F6F" w:rsidRDefault="00EB6F6F" w:rsidP="00EB6F6F">
      <w:r>
        <w:t xml:space="preserve">Another aspect to discuss is whether configuration </w:t>
      </w:r>
      <w:r w:rsidR="00ED0173" w:rsidRPr="00ED0173">
        <w:t>for data collection for training</w:t>
      </w:r>
      <w:r>
        <w:t xml:space="preserve"> is separate from configuration for inference or for performance monitoring. In each procedure, associated ID and corresponding CSI-RS set A/set B need to be configured. Since the discussion in RAN1 is still progressing, it is premature to conclude this aspect. </w:t>
      </w:r>
    </w:p>
    <w:p w14:paraId="7AEF1044" w14:textId="4548A590" w:rsidR="00EB6F6F" w:rsidRDefault="00EB6F6F" w:rsidP="00EB6F6F">
      <w:pPr>
        <w:rPr>
          <w:b/>
        </w:rPr>
      </w:pPr>
      <w:r w:rsidRPr="00FC11E3">
        <w:rPr>
          <w:b/>
        </w:rPr>
        <w:t>Proposal</w:t>
      </w:r>
      <w:r>
        <w:rPr>
          <w:b/>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3C2E7A">
        <w:rPr>
          <w:rFonts w:cs="Calibri"/>
          <w:b/>
          <w:bCs/>
          <w:noProof/>
        </w:rPr>
        <w:t>5</w:t>
      </w:r>
      <w:r w:rsidRPr="00762AF2">
        <w:rPr>
          <w:rFonts w:cs="Calibri"/>
          <w:b/>
          <w:bCs/>
        </w:rPr>
        <w:fldChar w:fldCharType="end"/>
      </w:r>
      <w:r w:rsidRPr="00FC11E3">
        <w:rPr>
          <w:b/>
        </w:rPr>
        <w:t xml:space="preserve">: RAN2 </w:t>
      </w:r>
      <w:r>
        <w:rPr>
          <w:b/>
        </w:rPr>
        <w:t xml:space="preserve">assume that configuration </w:t>
      </w:r>
      <w:r w:rsidR="00ED0173">
        <w:rPr>
          <w:b/>
        </w:rPr>
        <w:t>for data collection for training</w:t>
      </w:r>
      <w:r>
        <w:rPr>
          <w:b/>
        </w:rPr>
        <w:t xml:space="preserve"> is provided via RRC signaling. </w:t>
      </w:r>
    </w:p>
    <w:p w14:paraId="404FF00C" w14:textId="68314352" w:rsidR="00EB6F6F" w:rsidRDefault="00EB6F6F" w:rsidP="00EB6F6F">
      <w:pPr>
        <w:rPr>
          <w:b/>
        </w:rPr>
      </w:pPr>
      <w:r w:rsidRPr="00FC11E3">
        <w:rPr>
          <w:b/>
        </w:rPr>
        <w:t>Proposal</w:t>
      </w:r>
      <w:r>
        <w:rPr>
          <w:b/>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3C2E7A">
        <w:rPr>
          <w:rFonts w:cs="Calibri"/>
          <w:b/>
          <w:bCs/>
          <w:noProof/>
        </w:rPr>
        <w:t>6</w:t>
      </w:r>
      <w:r w:rsidRPr="00762AF2">
        <w:rPr>
          <w:rFonts w:cs="Calibri"/>
          <w:b/>
          <w:bCs/>
        </w:rPr>
        <w:fldChar w:fldCharType="end"/>
      </w:r>
      <w:r w:rsidRPr="00FC11E3">
        <w:rPr>
          <w:b/>
        </w:rPr>
        <w:t xml:space="preserve">: RAN2 </w:t>
      </w:r>
      <w:r>
        <w:rPr>
          <w:b/>
        </w:rPr>
        <w:t>wait for RAN1 input to decide structure of configuration for data collection</w:t>
      </w:r>
      <w:r w:rsidR="00FE0A22">
        <w:rPr>
          <w:b/>
        </w:rPr>
        <w:t xml:space="preserve"> for training</w:t>
      </w:r>
      <w:r>
        <w:rPr>
          <w:b/>
        </w:rPr>
        <w:t xml:space="preserve">. </w:t>
      </w:r>
    </w:p>
    <w:p w14:paraId="2E8B3960" w14:textId="18271A17" w:rsidR="00EB6F6F" w:rsidRDefault="00EB6F6F" w:rsidP="00EB6F6F">
      <w:pPr>
        <w:rPr>
          <w:b/>
          <w:u w:val="single"/>
        </w:rPr>
      </w:pPr>
      <w:r w:rsidRPr="00FC11E3">
        <w:rPr>
          <w:b/>
        </w:rPr>
        <w:t xml:space="preserve"> </w:t>
      </w:r>
      <w:r>
        <w:rPr>
          <w:b/>
          <w:u w:val="single"/>
        </w:rPr>
        <w:t>UE response on NW configuration</w:t>
      </w:r>
    </w:p>
    <w:p w14:paraId="2E24D64B" w14:textId="2D8905FF" w:rsidR="00EB6F6F" w:rsidRDefault="00EB6F6F" w:rsidP="00EB6F6F">
      <w:r>
        <w:t xml:space="preserve">From the signaling point of view, UE response may or may not </w:t>
      </w:r>
      <w:r w:rsidR="005B7FB4">
        <w:t xml:space="preserve">be </w:t>
      </w:r>
      <w:r>
        <w:t xml:space="preserve">needed depending on initiation options above discussed. That is, in case of option 2, the gNB would provide configuration based on UE request. In this case, another response from UE is not necessary. On the other hand, in case of option 1 and 3, there might be cases where the UE cannot train models due to UE power/processing resource </w:t>
      </w:r>
      <w:r>
        <w:lastRenderedPageBreak/>
        <w:t xml:space="preserve">issue. In this case, UE response may be useful to indicate that the configuration is not necessary. </w:t>
      </w:r>
      <w:r w:rsidR="007738F9">
        <w:t xml:space="preserve">At the same, we could also consider that NW </w:t>
      </w:r>
      <w:r w:rsidR="005B7FB4">
        <w:t>relies</w:t>
      </w:r>
      <w:r w:rsidR="007738F9">
        <w:t xml:space="preserve"> on UE’s applicable functionality reporting to identify up-to-date information. </w:t>
      </w:r>
    </w:p>
    <w:p w14:paraId="563DBA7C" w14:textId="582F1575" w:rsidR="00EB6F6F" w:rsidRPr="00FC11E3" w:rsidRDefault="00EB6F6F" w:rsidP="00EB6F6F">
      <w:pPr>
        <w:rPr>
          <w:b/>
        </w:rPr>
      </w:pPr>
      <w:r w:rsidRPr="00FC11E3">
        <w:rPr>
          <w:b/>
        </w:rPr>
        <w:t>Proposal</w:t>
      </w:r>
      <w:r>
        <w:rPr>
          <w:b/>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sidR="003C2E7A">
        <w:rPr>
          <w:rFonts w:cs="Calibri"/>
          <w:b/>
          <w:bCs/>
          <w:noProof/>
        </w:rPr>
        <w:t>7</w:t>
      </w:r>
      <w:r w:rsidRPr="00762AF2">
        <w:rPr>
          <w:rFonts w:cs="Calibri"/>
          <w:b/>
          <w:bCs/>
        </w:rPr>
        <w:fldChar w:fldCharType="end"/>
      </w:r>
      <w:r w:rsidRPr="00FC11E3">
        <w:rPr>
          <w:b/>
        </w:rPr>
        <w:t xml:space="preserve">: RAN2 discuss </w:t>
      </w:r>
      <w:r>
        <w:rPr>
          <w:b/>
        </w:rPr>
        <w:t xml:space="preserve">the need of UE response if NW configures configuration for </w:t>
      </w:r>
      <w:r w:rsidR="00ED0173">
        <w:rPr>
          <w:b/>
        </w:rPr>
        <w:t>data collection for training</w:t>
      </w:r>
      <w:r>
        <w:rPr>
          <w:b/>
        </w:rPr>
        <w:t xml:space="preserve"> without getting explicit UE request. </w:t>
      </w:r>
    </w:p>
    <w:p w14:paraId="50B1BA68" w14:textId="144AD597" w:rsidR="00BB2764" w:rsidRDefault="00BB2764" w:rsidP="00EB6F6F">
      <w:pPr>
        <w:pStyle w:val="Heading1"/>
        <w:numPr>
          <w:ilvl w:val="0"/>
          <w:numId w:val="3"/>
        </w:numPr>
      </w:pPr>
      <w:r>
        <w:t>Conclusion</w:t>
      </w:r>
    </w:p>
    <w:p w14:paraId="15F0B7F5" w14:textId="7A2822B1" w:rsidR="00BB2764" w:rsidRDefault="00BB2764" w:rsidP="00BB2764">
      <w:r>
        <w:t xml:space="preserve">We discussed the following three topics and provide the following proposals. </w:t>
      </w:r>
    </w:p>
    <w:p w14:paraId="551388AC" w14:textId="1D0DCF55" w:rsidR="00BB2764" w:rsidRPr="00134842" w:rsidRDefault="00134842" w:rsidP="00134842">
      <w:pPr>
        <w:rPr>
          <w:u w:val="single"/>
        </w:rPr>
      </w:pPr>
      <w:r w:rsidRPr="00134842">
        <w:rPr>
          <w:u w:val="single"/>
        </w:rPr>
        <w:t>Topic</w:t>
      </w:r>
      <w:r w:rsidR="00EB6F6F">
        <w:rPr>
          <w:u w:val="single"/>
        </w:rPr>
        <w:t>1</w:t>
      </w:r>
      <w:r w:rsidRPr="00134842">
        <w:rPr>
          <w:u w:val="single"/>
        </w:rPr>
        <w:t xml:space="preserve">: </w:t>
      </w:r>
      <w:r w:rsidR="00BB2764" w:rsidRPr="00134842">
        <w:rPr>
          <w:u w:val="single"/>
        </w:rPr>
        <w:t>NW-side additional condition</w:t>
      </w:r>
    </w:p>
    <w:p w14:paraId="4A45219D" w14:textId="77777777" w:rsidR="00FE0A22" w:rsidRPr="00D22697" w:rsidRDefault="00FE0A22" w:rsidP="00FE0A22">
      <w:pPr>
        <w:jc w:val="both"/>
        <w:rPr>
          <w:b/>
        </w:rPr>
      </w:pPr>
      <w:r w:rsidRPr="00D22697">
        <w:rPr>
          <w:b/>
        </w:rPr>
        <w:t>Observation</w:t>
      </w:r>
      <w:r>
        <w:rPr>
          <w:b/>
        </w:rPr>
        <w:t xml:space="preserve"> </w:t>
      </w:r>
      <w:r w:rsidRPr="00762AF2">
        <w:rPr>
          <w:rFonts w:cs="Calibri"/>
          <w:b/>
          <w:bCs/>
        </w:rPr>
        <w:fldChar w:fldCharType="begin"/>
      </w:r>
      <w:r w:rsidRPr="00762AF2">
        <w:rPr>
          <w:rFonts w:cs="Calibri"/>
          <w:b/>
          <w:bCs/>
        </w:rPr>
        <w:instrText xml:space="preserve"> SEQ obj \* MERGEFORMAT </w:instrText>
      </w:r>
      <w:r w:rsidRPr="00762AF2">
        <w:rPr>
          <w:rFonts w:cs="Calibri"/>
          <w:b/>
          <w:bCs/>
        </w:rPr>
        <w:fldChar w:fldCharType="separate"/>
      </w:r>
      <w:r>
        <w:rPr>
          <w:rFonts w:cs="Calibri"/>
          <w:b/>
          <w:bCs/>
          <w:noProof/>
        </w:rPr>
        <w:t>1</w:t>
      </w:r>
      <w:r w:rsidRPr="00762AF2">
        <w:rPr>
          <w:rFonts w:cs="Calibri"/>
          <w:b/>
          <w:bCs/>
        </w:rPr>
        <w:fldChar w:fldCharType="end"/>
      </w:r>
      <w:r w:rsidRPr="00D22697">
        <w:rPr>
          <w:b/>
        </w:rPr>
        <w:t xml:space="preserve">: </w:t>
      </w:r>
      <w:r>
        <w:rPr>
          <w:b/>
        </w:rPr>
        <w:t>A</w:t>
      </w:r>
      <w:r w:rsidRPr="00D22697">
        <w:rPr>
          <w:b/>
        </w:rPr>
        <w:t>ssociated ID is need</w:t>
      </w:r>
      <w:r>
        <w:rPr>
          <w:b/>
        </w:rPr>
        <w:t>s to be provided</w:t>
      </w:r>
      <w:r w:rsidRPr="00D22697">
        <w:rPr>
          <w:b/>
        </w:rPr>
        <w:t xml:space="preserve"> in both training and inference phase.  </w:t>
      </w:r>
    </w:p>
    <w:p w14:paraId="55BF3241" w14:textId="77777777" w:rsidR="00FE0A22" w:rsidRPr="00D22697" w:rsidRDefault="00FE0A22" w:rsidP="00FE0A22">
      <w:pPr>
        <w:jc w:val="both"/>
        <w:rPr>
          <w:b/>
        </w:rPr>
      </w:pPr>
      <w:r w:rsidRPr="00D22697">
        <w:rPr>
          <w:b/>
        </w:rPr>
        <w:t>Observation</w:t>
      </w:r>
      <w:r>
        <w:rPr>
          <w:b/>
        </w:rPr>
        <w:t xml:space="preserve"> </w:t>
      </w:r>
      <w:r w:rsidRPr="00762AF2">
        <w:rPr>
          <w:rFonts w:cs="Calibri"/>
          <w:b/>
          <w:bCs/>
        </w:rPr>
        <w:fldChar w:fldCharType="begin"/>
      </w:r>
      <w:r w:rsidRPr="00762AF2">
        <w:rPr>
          <w:rFonts w:cs="Calibri"/>
          <w:b/>
          <w:bCs/>
        </w:rPr>
        <w:instrText xml:space="preserve"> SEQ obj \* MERGEFORMAT </w:instrText>
      </w:r>
      <w:r w:rsidRPr="00762AF2">
        <w:rPr>
          <w:rFonts w:cs="Calibri"/>
          <w:b/>
          <w:bCs/>
        </w:rPr>
        <w:fldChar w:fldCharType="separate"/>
      </w:r>
      <w:r>
        <w:rPr>
          <w:rFonts w:cs="Calibri"/>
          <w:b/>
          <w:bCs/>
          <w:noProof/>
        </w:rPr>
        <w:t>2</w:t>
      </w:r>
      <w:r w:rsidRPr="00762AF2">
        <w:rPr>
          <w:rFonts w:cs="Calibri"/>
          <w:b/>
          <w:bCs/>
        </w:rPr>
        <w:fldChar w:fldCharType="end"/>
      </w:r>
      <w:r w:rsidRPr="00D22697">
        <w:rPr>
          <w:b/>
        </w:rPr>
        <w:t xml:space="preserve">: </w:t>
      </w:r>
      <w:r>
        <w:rPr>
          <w:b/>
        </w:rPr>
        <w:t xml:space="preserve">RAN1 is still discussing how to configure associate ID </w:t>
      </w:r>
      <w:r w:rsidRPr="00662CE2">
        <w:rPr>
          <w:b/>
        </w:rPr>
        <w:t xml:space="preserve">with respect to </w:t>
      </w:r>
      <w:r>
        <w:rPr>
          <w:b/>
        </w:rPr>
        <w:t xml:space="preserve">another configuration (e.g. </w:t>
      </w:r>
      <w:r w:rsidRPr="00662CE2">
        <w:rPr>
          <w:b/>
        </w:rPr>
        <w:t>Set A/Set B resource configuration</w:t>
      </w:r>
      <w:r>
        <w:rPr>
          <w:b/>
        </w:rPr>
        <w:t>).</w:t>
      </w:r>
    </w:p>
    <w:p w14:paraId="169A073F" w14:textId="77777777" w:rsidR="00FE0A22" w:rsidRPr="00D22697" w:rsidRDefault="00FE0A22" w:rsidP="00FE0A22">
      <w:pPr>
        <w:jc w:val="both"/>
        <w:rPr>
          <w:b/>
        </w:rPr>
      </w:pPr>
      <w:r w:rsidRPr="00D22697">
        <w:rPr>
          <w:b/>
        </w:rPr>
        <w:t>Observation</w:t>
      </w:r>
      <w:r>
        <w:rPr>
          <w:b/>
        </w:rPr>
        <w:t xml:space="preserve"> </w:t>
      </w:r>
      <w:r w:rsidRPr="00762AF2">
        <w:rPr>
          <w:rFonts w:cs="Calibri"/>
          <w:b/>
          <w:bCs/>
        </w:rPr>
        <w:fldChar w:fldCharType="begin"/>
      </w:r>
      <w:r w:rsidRPr="00762AF2">
        <w:rPr>
          <w:rFonts w:cs="Calibri"/>
          <w:b/>
          <w:bCs/>
        </w:rPr>
        <w:instrText xml:space="preserve"> SEQ obj \* MERGEFORMAT </w:instrText>
      </w:r>
      <w:r w:rsidRPr="00762AF2">
        <w:rPr>
          <w:rFonts w:cs="Calibri"/>
          <w:b/>
          <w:bCs/>
        </w:rPr>
        <w:fldChar w:fldCharType="separate"/>
      </w:r>
      <w:r>
        <w:rPr>
          <w:rFonts w:cs="Calibri"/>
          <w:b/>
          <w:bCs/>
          <w:noProof/>
        </w:rPr>
        <w:t>3</w:t>
      </w:r>
      <w:r w:rsidRPr="00762AF2">
        <w:rPr>
          <w:rFonts w:cs="Calibri"/>
          <w:b/>
          <w:bCs/>
        </w:rPr>
        <w:fldChar w:fldCharType="end"/>
      </w:r>
      <w:r w:rsidRPr="00D22697">
        <w:rPr>
          <w:b/>
        </w:rPr>
        <w:t xml:space="preserve">: </w:t>
      </w:r>
      <w:r>
        <w:rPr>
          <w:b/>
        </w:rPr>
        <w:t xml:space="preserve">RAN1 is still discussing whether associate ID is cell specific or multiple cells specific. </w:t>
      </w:r>
    </w:p>
    <w:p w14:paraId="6AD1D1DE" w14:textId="77777777" w:rsidR="00FE0A22" w:rsidRDefault="00FE0A22" w:rsidP="00FE0A22">
      <w:pPr>
        <w:jc w:val="both"/>
        <w:rPr>
          <w:b/>
        </w:rPr>
      </w:pPr>
      <w:r>
        <w:rPr>
          <w:b/>
        </w:rPr>
        <w:t xml:space="preserve">Proposal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Pr>
          <w:rFonts w:cs="Calibri"/>
          <w:b/>
          <w:bCs/>
          <w:noProof/>
        </w:rPr>
        <w:t>1</w:t>
      </w:r>
      <w:r w:rsidRPr="00762AF2">
        <w:rPr>
          <w:rFonts w:cs="Calibri"/>
          <w:b/>
          <w:bCs/>
        </w:rPr>
        <w:fldChar w:fldCharType="end"/>
      </w:r>
      <w:r w:rsidRPr="00D22697">
        <w:rPr>
          <w:b/>
        </w:rPr>
        <w:t xml:space="preserve">: </w:t>
      </w:r>
      <w:r>
        <w:rPr>
          <w:b/>
        </w:rPr>
        <w:t xml:space="preserve">RAN2 agree that it is feasible to support area/PLMN specific associated ID from signaling point of view. </w:t>
      </w:r>
    </w:p>
    <w:p w14:paraId="0D32948D" w14:textId="77777777" w:rsidR="00FE0A22" w:rsidRDefault="00FE0A22" w:rsidP="00134842">
      <w:pPr>
        <w:rPr>
          <w:u w:val="single"/>
        </w:rPr>
      </w:pPr>
    </w:p>
    <w:p w14:paraId="696F0AA5" w14:textId="0E6D2BB6" w:rsidR="00BB2764" w:rsidRPr="00134842" w:rsidRDefault="00134842" w:rsidP="00134842">
      <w:pPr>
        <w:rPr>
          <w:u w:val="single"/>
        </w:rPr>
      </w:pPr>
      <w:r w:rsidRPr="00134842">
        <w:rPr>
          <w:u w:val="single"/>
        </w:rPr>
        <w:t xml:space="preserve">Topic </w:t>
      </w:r>
      <w:r w:rsidR="00EB6F6F">
        <w:rPr>
          <w:u w:val="single"/>
        </w:rPr>
        <w:t>2</w:t>
      </w:r>
      <w:r w:rsidRPr="00134842">
        <w:rPr>
          <w:u w:val="single"/>
        </w:rPr>
        <w:t xml:space="preserve">: </w:t>
      </w:r>
      <w:r w:rsidR="00BB2764" w:rsidRPr="00134842">
        <w:rPr>
          <w:u w:val="single"/>
        </w:rPr>
        <w:t>Performance monitoring</w:t>
      </w:r>
    </w:p>
    <w:p w14:paraId="1BC43E20" w14:textId="77777777" w:rsidR="00FE0A22" w:rsidRPr="00762AF2" w:rsidRDefault="00FE0A22" w:rsidP="00FE0A22">
      <w:pPr>
        <w:jc w:val="both"/>
        <w:rPr>
          <w:lang w:eastAsia="en-US"/>
        </w:rPr>
      </w:pPr>
      <w:r w:rsidRPr="00762AF2">
        <w:rPr>
          <w:b/>
          <w:lang w:eastAsia="en-US"/>
        </w:rPr>
        <w:t xml:space="preserve">Observation </w:t>
      </w:r>
      <w:r w:rsidRPr="00762AF2">
        <w:rPr>
          <w:rFonts w:cs="Calibri"/>
          <w:b/>
          <w:bCs/>
        </w:rPr>
        <w:fldChar w:fldCharType="begin"/>
      </w:r>
      <w:r w:rsidRPr="00762AF2">
        <w:rPr>
          <w:rFonts w:cs="Calibri"/>
          <w:b/>
          <w:bCs/>
        </w:rPr>
        <w:instrText xml:space="preserve"> SEQ obj \* MERGEFORMAT </w:instrText>
      </w:r>
      <w:r w:rsidRPr="00762AF2">
        <w:rPr>
          <w:rFonts w:cs="Calibri"/>
          <w:b/>
          <w:bCs/>
        </w:rPr>
        <w:fldChar w:fldCharType="separate"/>
      </w:r>
      <w:r>
        <w:rPr>
          <w:rFonts w:cs="Calibri"/>
          <w:b/>
          <w:bCs/>
          <w:noProof/>
        </w:rPr>
        <w:t>4</w:t>
      </w:r>
      <w:r w:rsidRPr="00762AF2">
        <w:rPr>
          <w:rFonts w:cs="Calibri"/>
          <w:b/>
          <w:bCs/>
        </w:rPr>
        <w:fldChar w:fldCharType="end"/>
      </w:r>
      <w:r w:rsidRPr="00762AF2">
        <w:rPr>
          <w:b/>
          <w:lang w:eastAsia="en-US"/>
        </w:rPr>
        <w:t xml:space="preserve">: </w:t>
      </w:r>
      <w:r>
        <w:rPr>
          <w:b/>
          <w:lang w:eastAsia="en-US"/>
        </w:rPr>
        <w:t>F</w:t>
      </w:r>
      <w:r w:rsidRPr="00762AF2">
        <w:rPr>
          <w:b/>
          <w:lang w:eastAsia="en-US"/>
        </w:rPr>
        <w:t xml:space="preserve">or performance monitoring reporting, the level of data size can be different depending on whether UE report actual prediction/measurement results or performance metric/event/management decision. </w:t>
      </w:r>
    </w:p>
    <w:p w14:paraId="7B1A9CDD" w14:textId="77777777" w:rsidR="00FE0A22" w:rsidRPr="00762AF2" w:rsidRDefault="00FE0A22" w:rsidP="00FE0A22">
      <w:pPr>
        <w:jc w:val="both"/>
        <w:rPr>
          <w:lang w:eastAsia="en-US"/>
        </w:rPr>
      </w:pPr>
      <w:r w:rsidRPr="00762AF2">
        <w:rPr>
          <w:b/>
          <w:lang w:eastAsia="en-US"/>
        </w:rPr>
        <w:t xml:space="preserve">Observation </w:t>
      </w:r>
      <w:r w:rsidRPr="00762AF2">
        <w:rPr>
          <w:rFonts w:cs="Calibri"/>
          <w:b/>
          <w:bCs/>
        </w:rPr>
        <w:fldChar w:fldCharType="begin"/>
      </w:r>
      <w:r w:rsidRPr="00762AF2">
        <w:rPr>
          <w:rFonts w:cs="Calibri"/>
          <w:b/>
          <w:bCs/>
        </w:rPr>
        <w:instrText xml:space="preserve"> SEQ obj \* MERGEFORMAT </w:instrText>
      </w:r>
      <w:r w:rsidRPr="00762AF2">
        <w:rPr>
          <w:rFonts w:cs="Calibri"/>
          <w:b/>
          <w:bCs/>
        </w:rPr>
        <w:fldChar w:fldCharType="separate"/>
      </w:r>
      <w:r>
        <w:rPr>
          <w:rFonts w:cs="Calibri"/>
          <w:b/>
          <w:bCs/>
          <w:noProof/>
        </w:rPr>
        <w:t>5</w:t>
      </w:r>
      <w:r w:rsidRPr="00762AF2">
        <w:rPr>
          <w:rFonts w:cs="Calibri"/>
          <w:b/>
          <w:bCs/>
        </w:rPr>
        <w:fldChar w:fldCharType="end"/>
      </w:r>
      <w:r w:rsidRPr="00762AF2">
        <w:rPr>
          <w:b/>
          <w:lang w:eastAsia="en-US"/>
        </w:rPr>
        <w:t xml:space="preserve">: </w:t>
      </w:r>
      <w:r>
        <w:rPr>
          <w:b/>
          <w:lang w:eastAsia="en-US"/>
        </w:rPr>
        <w:t>F</w:t>
      </w:r>
      <w:r w:rsidRPr="00762AF2">
        <w:rPr>
          <w:b/>
          <w:lang w:eastAsia="en-US"/>
        </w:rPr>
        <w:t xml:space="preserve">or performance monitoring reporting, </w:t>
      </w:r>
      <w:r>
        <w:rPr>
          <w:b/>
          <w:lang w:eastAsia="en-US"/>
        </w:rPr>
        <w:t>all signaling options (L1, MAC, RRC signaling) are feasible to meet</w:t>
      </w:r>
      <w:r w:rsidRPr="00762AF2">
        <w:rPr>
          <w:b/>
          <w:lang w:eastAsia="en-US"/>
        </w:rPr>
        <w:t xml:space="preserve"> near-real-time requirement. </w:t>
      </w:r>
    </w:p>
    <w:p w14:paraId="0256E6C1" w14:textId="77777777" w:rsidR="00FE0A22" w:rsidRDefault="00FE0A22" w:rsidP="00FE0A22">
      <w:pPr>
        <w:jc w:val="both"/>
        <w:rPr>
          <w:b/>
          <w:lang w:eastAsia="en-US"/>
        </w:rPr>
      </w:pPr>
      <w:r w:rsidRPr="00762AF2">
        <w:rPr>
          <w:b/>
          <w:lang w:eastAsia="en-US"/>
        </w:rPr>
        <w:t xml:space="preserve">Observation </w:t>
      </w:r>
      <w:r w:rsidRPr="00762AF2">
        <w:rPr>
          <w:rFonts w:cs="Calibri"/>
          <w:b/>
          <w:bCs/>
        </w:rPr>
        <w:fldChar w:fldCharType="begin"/>
      </w:r>
      <w:r w:rsidRPr="00762AF2">
        <w:rPr>
          <w:rFonts w:cs="Calibri"/>
          <w:b/>
          <w:bCs/>
        </w:rPr>
        <w:instrText xml:space="preserve"> SEQ obj \* MERGEFORMAT </w:instrText>
      </w:r>
      <w:r w:rsidRPr="00762AF2">
        <w:rPr>
          <w:rFonts w:cs="Calibri"/>
          <w:b/>
          <w:bCs/>
        </w:rPr>
        <w:fldChar w:fldCharType="separate"/>
      </w:r>
      <w:r>
        <w:rPr>
          <w:rFonts w:cs="Calibri"/>
          <w:b/>
          <w:bCs/>
          <w:noProof/>
        </w:rPr>
        <w:t>6</w:t>
      </w:r>
      <w:r w:rsidRPr="00762AF2">
        <w:rPr>
          <w:rFonts w:cs="Calibri"/>
          <w:b/>
          <w:bCs/>
        </w:rPr>
        <w:fldChar w:fldCharType="end"/>
      </w:r>
      <w:r w:rsidRPr="00762AF2">
        <w:rPr>
          <w:b/>
          <w:lang w:eastAsia="en-US"/>
        </w:rPr>
        <w:t>:</w:t>
      </w:r>
      <w:r>
        <w:rPr>
          <w:b/>
          <w:lang w:eastAsia="en-US"/>
        </w:rPr>
        <w:t xml:space="preserve"> For performance monitoring reporting, depending on the size and characteristics of reporting for performance monitoring, it may require more flexible format.</w:t>
      </w:r>
    </w:p>
    <w:p w14:paraId="3CDC82F0" w14:textId="77777777" w:rsidR="00FE0A22" w:rsidRDefault="00FE0A22" w:rsidP="00FE0A22">
      <w:pPr>
        <w:jc w:val="both"/>
        <w:rPr>
          <w:b/>
          <w:lang w:eastAsia="en-US"/>
        </w:rPr>
      </w:pPr>
      <w:r w:rsidRPr="00762AF2">
        <w:rPr>
          <w:b/>
          <w:lang w:eastAsia="en-US"/>
        </w:rPr>
        <w:t xml:space="preserve">Proposal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Pr>
          <w:rFonts w:cs="Calibri"/>
          <w:b/>
          <w:bCs/>
          <w:noProof/>
        </w:rPr>
        <w:t>2</w:t>
      </w:r>
      <w:r w:rsidRPr="00762AF2">
        <w:rPr>
          <w:rFonts w:cs="Calibri"/>
          <w:b/>
          <w:bCs/>
        </w:rPr>
        <w:fldChar w:fldCharType="end"/>
      </w:r>
      <w:r w:rsidRPr="00762AF2">
        <w:rPr>
          <w:b/>
          <w:lang w:eastAsia="en-US"/>
        </w:rPr>
        <w:t xml:space="preserve">: RAN2 </w:t>
      </w:r>
      <w:r>
        <w:rPr>
          <w:b/>
          <w:lang w:eastAsia="en-US"/>
        </w:rPr>
        <w:t xml:space="preserve">wait for RAN1 inputs to identify signaling option for </w:t>
      </w:r>
      <w:r w:rsidRPr="00762AF2">
        <w:rPr>
          <w:b/>
          <w:lang w:eastAsia="en-US"/>
        </w:rPr>
        <w:t xml:space="preserve">performance </w:t>
      </w:r>
      <w:r>
        <w:rPr>
          <w:b/>
          <w:lang w:eastAsia="en-US"/>
        </w:rPr>
        <w:t>monitoring</w:t>
      </w:r>
      <w:r w:rsidRPr="00762AF2">
        <w:rPr>
          <w:b/>
          <w:lang w:eastAsia="en-US"/>
        </w:rPr>
        <w:t xml:space="preserve">. </w:t>
      </w:r>
    </w:p>
    <w:p w14:paraId="6252DDD7" w14:textId="3715C8F3" w:rsidR="00EB6F6F" w:rsidRPr="00134842" w:rsidRDefault="00EB6F6F" w:rsidP="00EB6F6F">
      <w:pPr>
        <w:rPr>
          <w:u w:val="single"/>
        </w:rPr>
      </w:pPr>
      <w:r w:rsidRPr="00134842">
        <w:rPr>
          <w:u w:val="single"/>
        </w:rPr>
        <w:t xml:space="preserve">Topic </w:t>
      </w:r>
      <w:r>
        <w:rPr>
          <w:u w:val="single"/>
        </w:rPr>
        <w:t>3</w:t>
      </w:r>
      <w:r w:rsidRPr="00134842">
        <w:rPr>
          <w:u w:val="single"/>
        </w:rPr>
        <w:t xml:space="preserve">: </w:t>
      </w:r>
      <w:r>
        <w:rPr>
          <w:u w:val="single"/>
        </w:rPr>
        <w:t>Data collection for training</w:t>
      </w:r>
    </w:p>
    <w:p w14:paraId="751C8C64" w14:textId="77777777" w:rsidR="006A0451" w:rsidRPr="00F617B9" w:rsidRDefault="006A0451" w:rsidP="006A0451">
      <w:pPr>
        <w:rPr>
          <w:b/>
        </w:rPr>
      </w:pPr>
      <w:r w:rsidRPr="00F617B9">
        <w:rPr>
          <w:b/>
        </w:rPr>
        <w:t>Proposal</w:t>
      </w:r>
      <w:r>
        <w:rPr>
          <w:b/>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Pr>
          <w:rFonts w:cs="Calibri"/>
          <w:b/>
          <w:bCs/>
          <w:noProof/>
        </w:rPr>
        <w:t>3</w:t>
      </w:r>
      <w:r w:rsidRPr="00762AF2">
        <w:rPr>
          <w:rFonts w:cs="Calibri"/>
          <w:b/>
          <w:bCs/>
        </w:rPr>
        <w:fldChar w:fldCharType="end"/>
      </w:r>
      <w:r w:rsidRPr="00F617B9">
        <w:rPr>
          <w:b/>
        </w:rPr>
        <w:t xml:space="preserve">: RAN2 focus on NW assisted data collection for training but make it optional for UE. </w:t>
      </w:r>
    </w:p>
    <w:p w14:paraId="137FED81" w14:textId="77777777" w:rsidR="006A0451" w:rsidRPr="00FC11E3" w:rsidRDefault="006A0451" w:rsidP="006A0451">
      <w:pPr>
        <w:rPr>
          <w:b/>
        </w:rPr>
      </w:pPr>
      <w:r w:rsidRPr="00FC11E3">
        <w:rPr>
          <w:b/>
        </w:rPr>
        <w:t>Proposal</w:t>
      </w:r>
      <w:r>
        <w:rPr>
          <w:b/>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Pr>
          <w:rFonts w:cs="Calibri"/>
          <w:b/>
          <w:bCs/>
          <w:noProof/>
        </w:rPr>
        <w:t>4</w:t>
      </w:r>
      <w:r w:rsidRPr="00762AF2">
        <w:rPr>
          <w:rFonts w:cs="Calibri"/>
          <w:b/>
          <w:bCs/>
        </w:rPr>
        <w:fldChar w:fldCharType="end"/>
      </w:r>
      <w:r w:rsidRPr="00FC11E3">
        <w:rPr>
          <w:b/>
        </w:rPr>
        <w:t xml:space="preserve">: RAN2 discuss the following potential signaling options to initiate </w:t>
      </w:r>
      <w:r w:rsidRPr="00ED0173">
        <w:rPr>
          <w:b/>
        </w:rPr>
        <w:t>for data collection for training</w:t>
      </w:r>
      <w:r w:rsidRPr="00FC11E3">
        <w:rPr>
          <w:b/>
        </w:rPr>
        <w:t xml:space="preserve"> procedure; 1) UE capability, 2) UE request and 3) implicit initiation. </w:t>
      </w:r>
    </w:p>
    <w:p w14:paraId="4A4B844E" w14:textId="77777777" w:rsidR="006A0451" w:rsidRDefault="006A0451" w:rsidP="006A0451">
      <w:pPr>
        <w:rPr>
          <w:b/>
        </w:rPr>
      </w:pPr>
      <w:r w:rsidRPr="00FC11E3">
        <w:rPr>
          <w:b/>
        </w:rPr>
        <w:t>Proposal</w:t>
      </w:r>
      <w:r>
        <w:rPr>
          <w:b/>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Pr>
          <w:rFonts w:cs="Calibri"/>
          <w:b/>
          <w:bCs/>
          <w:noProof/>
        </w:rPr>
        <w:t>5</w:t>
      </w:r>
      <w:r w:rsidRPr="00762AF2">
        <w:rPr>
          <w:rFonts w:cs="Calibri"/>
          <w:b/>
          <w:bCs/>
        </w:rPr>
        <w:fldChar w:fldCharType="end"/>
      </w:r>
      <w:r w:rsidRPr="00FC11E3">
        <w:rPr>
          <w:b/>
        </w:rPr>
        <w:t xml:space="preserve">: RAN2 </w:t>
      </w:r>
      <w:r>
        <w:rPr>
          <w:b/>
        </w:rPr>
        <w:t xml:space="preserve">assume that configuration for data collection for training is provided via RRC signaling. </w:t>
      </w:r>
    </w:p>
    <w:p w14:paraId="2918B772" w14:textId="77777777" w:rsidR="006A0451" w:rsidRDefault="006A0451" w:rsidP="006A0451">
      <w:pPr>
        <w:rPr>
          <w:b/>
        </w:rPr>
      </w:pPr>
      <w:r w:rsidRPr="00FC11E3">
        <w:rPr>
          <w:b/>
        </w:rPr>
        <w:t>Proposal</w:t>
      </w:r>
      <w:r>
        <w:rPr>
          <w:b/>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Pr>
          <w:rFonts w:cs="Calibri"/>
          <w:b/>
          <w:bCs/>
          <w:noProof/>
        </w:rPr>
        <w:t>6</w:t>
      </w:r>
      <w:r w:rsidRPr="00762AF2">
        <w:rPr>
          <w:rFonts w:cs="Calibri"/>
          <w:b/>
          <w:bCs/>
        </w:rPr>
        <w:fldChar w:fldCharType="end"/>
      </w:r>
      <w:r w:rsidRPr="00FC11E3">
        <w:rPr>
          <w:b/>
        </w:rPr>
        <w:t xml:space="preserve">: RAN2 </w:t>
      </w:r>
      <w:r>
        <w:rPr>
          <w:b/>
        </w:rPr>
        <w:t xml:space="preserve">wait for RAN1 input to decide structure of configuration for data collection for training. </w:t>
      </w:r>
    </w:p>
    <w:p w14:paraId="6E2D683F" w14:textId="77777777" w:rsidR="006A0451" w:rsidRPr="00FC11E3" w:rsidRDefault="006A0451" w:rsidP="006A0451">
      <w:pPr>
        <w:rPr>
          <w:b/>
        </w:rPr>
      </w:pPr>
      <w:r w:rsidRPr="00FC11E3">
        <w:rPr>
          <w:b/>
        </w:rPr>
        <w:lastRenderedPageBreak/>
        <w:t>Proposal</w:t>
      </w:r>
      <w:r>
        <w:rPr>
          <w:b/>
        </w:rPr>
        <w:t xml:space="preserve"> </w:t>
      </w:r>
      <w:r w:rsidRPr="00762AF2">
        <w:rPr>
          <w:rFonts w:cs="Calibri"/>
          <w:b/>
          <w:bCs/>
        </w:rPr>
        <w:fldChar w:fldCharType="begin"/>
      </w:r>
      <w:r w:rsidRPr="00762AF2">
        <w:rPr>
          <w:rFonts w:cs="Calibri"/>
          <w:b/>
          <w:bCs/>
        </w:rPr>
        <w:instrText xml:space="preserve"> SEQ pro \* MERGEFORMAT  \* MERGEFORMAT </w:instrText>
      </w:r>
      <w:r w:rsidRPr="00762AF2">
        <w:rPr>
          <w:rFonts w:cs="Calibri"/>
          <w:b/>
          <w:bCs/>
        </w:rPr>
        <w:fldChar w:fldCharType="separate"/>
      </w:r>
      <w:r>
        <w:rPr>
          <w:rFonts w:cs="Calibri"/>
          <w:b/>
          <w:bCs/>
          <w:noProof/>
        </w:rPr>
        <w:t>7</w:t>
      </w:r>
      <w:r w:rsidRPr="00762AF2">
        <w:rPr>
          <w:rFonts w:cs="Calibri"/>
          <w:b/>
          <w:bCs/>
        </w:rPr>
        <w:fldChar w:fldCharType="end"/>
      </w:r>
      <w:r w:rsidRPr="00FC11E3">
        <w:rPr>
          <w:b/>
        </w:rPr>
        <w:t xml:space="preserve">: RAN2 discuss </w:t>
      </w:r>
      <w:r>
        <w:rPr>
          <w:b/>
        </w:rPr>
        <w:t xml:space="preserve">the need of UE response if NW configures configuration for data collection for training without getting explicit UE request. </w:t>
      </w:r>
    </w:p>
    <w:p w14:paraId="3B2CB5E7" w14:textId="77777777" w:rsidR="00B37E5C" w:rsidRDefault="00B37E5C" w:rsidP="00EB6F6F">
      <w:pPr>
        <w:pStyle w:val="Heading1"/>
        <w:numPr>
          <w:ilvl w:val="0"/>
          <w:numId w:val="3"/>
        </w:numPr>
      </w:pPr>
      <w:r w:rsidRPr="00003523">
        <w:t>Reference</w:t>
      </w:r>
    </w:p>
    <w:p w14:paraId="7087B450" w14:textId="0FBA3B47" w:rsidR="00B37E5C" w:rsidRPr="00762AF2" w:rsidRDefault="00B37E5C" w:rsidP="00B37E5C">
      <w:pPr>
        <w:pStyle w:val="ListParagraph"/>
        <w:numPr>
          <w:ilvl w:val="0"/>
          <w:numId w:val="11"/>
        </w:numPr>
        <w:spacing w:before="100" w:after="180" w:line="240" w:lineRule="auto"/>
        <w:ind w:left="0" w:firstLine="0"/>
        <w:jc w:val="both"/>
      </w:pPr>
      <w:bookmarkStart w:id="2" w:name="_Hlk165890062"/>
      <w:r w:rsidRPr="00760D90">
        <w:rPr>
          <w:rFonts w:cstheme="minorHAnsi"/>
          <w:lang w:eastAsia="en-US"/>
        </w:rPr>
        <w:t>R2-</w:t>
      </w:r>
      <w:proofErr w:type="gramStart"/>
      <w:r w:rsidRPr="00760D90">
        <w:rPr>
          <w:rFonts w:cstheme="minorHAnsi"/>
          <w:lang w:eastAsia="en-US"/>
        </w:rPr>
        <w:t>2311720</w:t>
      </w:r>
      <w:r>
        <w:rPr>
          <w:rFonts w:cstheme="minorHAnsi"/>
          <w:lang w:eastAsia="en-US"/>
        </w:rPr>
        <w:t xml:space="preserve"> </w:t>
      </w:r>
      <w:r w:rsidRPr="00760D90">
        <w:rPr>
          <w:rFonts w:cstheme="minorHAnsi"/>
          <w:lang w:eastAsia="en-US"/>
        </w:rPr>
        <w:t xml:space="preserve"> </w:t>
      </w:r>
      <w:r w:rsidR="005B7FB4">
        <w:rPr>
          <w:rFonts w:cstheme="minorHAnsi"/>
          <w:lang w:eastAsia="en-US"/>
        </w:rPr>
        <w:tab/>
      </w:r>
      <w:proofErr w:type="gramEnd"/>
      <w:r w:rsidRPr="00760D90">
        <w:rPr>
          <w:rFonts w:cstheme="minorHAnsi"/>
          <w:lang w:eastAsia="en-US"/>
        </w:rPr>
        <w:t>Reply LS on Data Collection Requirements and Assumptions (LS to RAN2)</w:t>
      </w:r>
      <w:bookmarkEnd w:id="2"/>
    </w:p>
    <w:p w14:paraId="211D4F0F" w14:textId="77777777" w:rsidR="00B37E5C" w:rsidRPr="00B37E5C" w:rsidRDefault="00B37E5C" w:rsidP="00B37E5C"/>
    <w:p w14:paraId="7C6EBECC" w14:textId="77777777" w:rsidR="00B37E5C" w:rsidRPr="00D22697" w:rsidRDefault="00B37E5C" w:rsidP="008471E7">
      <w:pPr>
        <w:rPr>
          <w:b/>
        </w:rPr>
      </w:pPr>
    </w:p>
    <w:sectPr w:rsidR="00B37E5C" w:rsidRPr="00D22697">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67E74" w16cex:dateUtc="2024-10-01T04:58:00Z"/>
  <w16cex:commentExtensible w16cex:durableId="2AA67E9B" w16cex:dateUtc="2024-10-01T04:58:00Z"/>
  <w16cex:commentExtensible w16cex:durableId="2AA6A4FA" w16cex:dateUtc="2024-10-01T07:42:00Z"/>
  <w16cex:commentExtensible w16cex:durableId="2AA6A85D" w16cex:dateUtc="2024-10-01T07:57:00Z"/>
  <w16cex:commentExtensible w16cex:durableId="2AA6AB13" w16cex:dateUtc="2024-10-01T08: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C9B11" w14:textId="77777777" w:rsidR="00AC6C10" w:rsidRDefault="00AC6C10" w:rsidP="00BE2902">
      <w:pPr>
        <w:spacing w:after="0" w:line="240" w:lineRule="auto"/>
      </w:pPr>
      <w:r>
        <w:separator/>
      </w:r>
    </w:p>
  </w:endnote>
  <w:endnote w:type="continuationSeparator" w:id="0">
    <w:p w14:paraId="19D3F205" w14:textId="77777777" w:rsidR="00AC6C10" w:rsidRDefault="00AC6C10" w:rsidP="00BE29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D7629" w14:textId="77777777" w:rsidR="00AC6C10" w:rsidRDefault="00AC6C10" w:rsidP="00BE2902">
      <w:pPr>
        <w:spacing w:after="0" w:line="240" w:lineRule="auto"/>
      </w:pPr>
      <w:r>
        <w:separator/>
      </w:r>
    </w:p>
  </w:footnote>
  <w:footnote w:type="continuationSeparator" w:id="0">
    <w:p w14:paraId="748FBD8D" w14:textId="77777777" w:rsidR="00AC6C10" w:rsidRDefault="00AC6C10" w:rsidP="00BE29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4A28C5"/>
    <w:multiLevelType w:val="hybridMultilevel"/>
    <w:tmpl w:val="B3904FA2"/>
    <w:lvl w:ilvl="0" w:tplc="3DFEC0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76039BD"/>
    <w:multiLevelType w:val="hybridMultilevel"/>
    <w:tmpl w:val="972256C8"/>
    <w:lvl w:ilvl="0" w:tplc="0D561CFC">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D66014"/>
    <w:multiLevelType w:val="hybridMultilevel"/>
    <w:tmpl w:val="4F3C3C20"/>
    <w:lvl w:ilvl="0" w:tplc="69F8C0D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B542CC"/>
    <w:multiLevelType w:val="multilevel"/>
    <w:tmpl w:val="B2248782"/>
    <w:lvl w:ilvl="0">
      <w:start w:val="1"/>
      <w:numFmt w:val="bullet"/>
      <w:lvlText w:val="-"/>
      <w:lvlJc w:val="left"/>
      <w:pPr>
        <w:ind w:left="360" w:hanging="360"/>
      </w:pPr>
      <w:rPr>
        <w:rFonts w:ascii="Calibri" w:eastAsia="Malgun Gothic" w:hAnsi="Calibri" w:cs="Calibri" w:hint="default"/>
      </w:rPr>
    </w:lvl>
    <w:lvl w:ilvl="1">
      <w:start w:val="1"/>
      <w:numFmt w:val="bullet"/>
      <w:lvlText w:val="-"/>
      <w:lvlJc w:val="left"/>
      <w:pPr>
        <w:ind w:left="792" w:hanging="432"/>
      </w:pPr>
      <w:rPr>
        <w:rFonts w:ascii="Calibri" w:eastAsia="Malgun Gothic" w:hAnsi="Calibri" w:cs="Calibr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3D84ACF"/>
    <w:multiLevelType w:val="hybridMultilevel"/>
    <w:tmpl w:val="7A8609A8"/>
    <w:lvl w:ilvl="0" w:tplc="0D561CFC">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D3510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2970FA8"/>
    <w:multiLevelType w:val="hybridMultilevel"/>
    <w:tmpl w:val="657EF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D55BD5"/>
    <w:multiLevelType w:val="multilevel"/>
    <w:tmpl w:val="62D55B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2FB7FC2"/>
    <w:multiLevelType w:val="hybridMultilevel"/>
    <w:tmpl w:val="85942008"/>
    <w:lvl w:ilvl="0" w:tplc="6596A7D0">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5250AA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6300866"/>
    <w:multiLevelType w:val="hybridMultilevel"/>
    <w:tmpl w:val="8ED64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5A62CA"/>
    <w:multiLevelType w:val="hybridMultilevel"/>
    <w:tmpl w:val="A4A627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2670E7"/>
    <w:multiLevelType w:val="multilevel"/>
    <w:tmpl w:val="6E2670E7"/>
    <w:lvl w:ilvl="0">
      <w:start w:val="2"/>
      <w:numFmt w:val="bullet"/>
      <w:lvlText w:val="-"/>
      <w:lvlJc w:val="left"/>
      <w:pPr>
        <w:ind w:left="360" w:hanging="36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41B083D"/>
    <w:multiLevelType w:val="hybridMultilevel"/>
    <w:tmpl w:val="DBC0FBD2"/>
    <w:lvl w:ilvl="0" w:tplc="69F8C0D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6" w15:restartNumberingAfterBreak="0">
    <w:nsid w:val="77816263"/>
    <w:multiLevelType w:val="hybridMultilevel"/>
    <w:tmpl w:val="E19E0630"/>
    <w:lvl w:ilvl="0" w:tplc="B7560922">
      <w:start w:val="1"/>
      <w:numFmt w:val="bullet"/>
      <w:lvlText w:val="-"/>
      <w:lvlJc w:val="left"/>
      <w:pPr>
        <w:ind w:left="413" w:hanging="360"/>
      </w:pPr>
      <w:rPr>
        <w:rFonts w:ascii="Calibri" w:eastAsiaTheme="minorEastAsia" w:hAnsi="Calibri" w:cs="Calibri"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17" w15:restartNumberingAfterBreak="0">
    <w:nsid w:val="7D6F685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C42C86"/>
    <w:multiLevelType w:val="hybridMultilevel"/>
    <w:tmpl w:val="38243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0D1B32"/>
    <w:multiLevelType w:val="hybridMultilevel"/>
    <w:tmpl w:val="3CB2F752"/>
    <w:lvl w:ilvl="0" w:tplc="0764DFBA">
      <w:start w:val="1"/>
      <w:numFmt w:val="decimal"/>
      <w:lvlText w:val="[%1]"/>
      <w:lvlJc w:val="left"/>
      <w:pPr>
        <w:ind w:left="720" w:hanging="360"/>
      </w:pPr>
      <w:rPr>
        <w:sz w:val="21"/>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6"/>
  </w:num>
  <w:num w:numId="5">
    <w:abstractNumId w:val="12"/>
  </w:num>
  <w:num w:numId="6">
    <w:abstractNumId w:val="13"/>
  </w:num>
  <w:num w:numId="7">
    <w:abstractNumId w:val="5"/>
  </w:num>
  <w:num w:numId="8">
    <w:abstractNumId w:val="10"/>
  </w:num>
  <w:num w:numId="9">
    <w:abstractNumId w:val="8"/>
  </w:num>
  <w:num w:numId="10">
    <w:abstractNumId w:val="2"/>
  </w:num>
  <w:num w:numId="11">
    <w:abstractNumId w:val="19"/>
  </w:num>
  <w:num w:numId="12">
    <w:abstractNumId w:val="7"/>
  </w:num>
  <w:num w:numId="13">
    <w:abstractNumId w:val="11"/>
  </w:num>
  <w:num w:numId="14">
    <w:abstractNumId w:val="6"/>
  </w:num>
  <w:num w:numId="15">
    <w:abstractNumId w:val="15"/>
  </w:num>
  <w:num w:numId="16">
    <w:abstractNumId w:val="0"/>
  </w:num>
  <w:num w:numId="17">
    <w:abstractNumId w:val="14"/>
  </w:num>
  <w:num w:numId="18">
    <w:abstractNumId w:val="3"/>
  </w:num>
  <w:num w:numId="19">
    <w:abstractNumId w:val="9"/>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0D0"/>
    <w:rsid w:val="00011AFD"/>
    <w:rsid w:val="00071AED"/>
    <w:rsid w:val="00096F99"/>
    <w:rsid w:val="000979A8"/>
    <w:rsid w:val="000A374F"/>
    <w:rsid w:val="000D25B7"/>
    <w:rsid w:val="00116075"/>
    <w:rsid w:val="00117281"/>
    <w:rsid w:val="00121757"/>
    <w:rsid w:val="001308ED"/>
    <w:rsid w:val="00134842"/>
    <w:rsid w:val="001514D1"/>
    <w:rsid w:val="001A06D2"/>
    <w:rsid w:val="001A382D"/>
    <w:rsid w:val="001A7543"/>
    <w:rsid w:val="001B046C"/>
    <w:rsid w:val="001B13A2"/>
    <w:rsid w:val="001C447D"/>
    <w:rsid w:val="001F298A"/>
    <w:rsid w:val="001F3611"/>
    <w:rsid w:val="00240F81"/>
    <w:rsid w:val="002627C9"/>
    <w:rsid w:val="0027684B"/>
    <w:rsid w:val="002770E2"/>
    <w:rsid w:val="00295005"/>
    <w:rsid w:val="00297818"/>
    <w:rsid w:val="00297DBD"/>
    <w:rsid w:val="00307E06"/>
    <w:rsid w:val="00331FDE"/>
    <w:rsid w:val="00363551"/>
    <w:rsid w:val="0037587B"/>
    <w:rsid w:val="0038399E"/>
    <w:rsid w:val="003B2DC3"/>
    <w:rsid w:val="003C20C6"/>
    <w:rsid w:val="003C2E7A"/>
    <w:rsid w:val="003D699E"/>
    <w:rsid w:val="003F3D21"/>
    <w:rsid w:val="004338B9"/>
    <w:rsid w:val="004339A9"/>
    <w:rsid w:val="00457A99"/>
    <w:rsid w:val="00465922"/>
    <w:rsid w:val="00472ECC"/>
    <w:rsid w:val="004917AC"/>
    <w:rsid w:val="00494DBA"/>
    <w:rsid w:val="004A4CD6"/>
    <w:rsid w:val="004C60D1"/>
    <w:rsid w:val="004C6C84"/>
    <w:rsid w:val="0056446B"/>
    <w:rsid w:val="005660DC"/>
    <w:rsid w:val="00574AC2"/>
    <w:rsid w:val="005A4671"/>
    <w:rsid w:val="005B7FB4"/>
    <w:rsid w:val="005F31AF"/>
    <w:rsid w:val="005F7BDE"/>
    <w:rsid w:val="00604903"/>
    <w:rsid w:val="006111E0"/>
    <w:rsid w:val="00644617"/>
    <w:rsid w:val="0066219E"/>
    <w:rsid w:val="006625CA"/>
    <w:rsid w:val="00662CE2"/>
    <w:rsid w:val="006A0451"/>
    <w:rsid w:val="006C72E5"/>
    <w:rsid w:val="006F4968"/>
    <w:rsid w:val="00715875"/>
    <w:rsid w:val="007227D9"/>
    <w:rsid w:val="0073084F"/>
    <w:rsid w:val="00750FF8"/>
    <w:rsid w:val="007606D1"/>
    <w:rsid w:val="007738F9"/>
    <w:rsid w:val="007B5BB5"/>
    <w:rsid w:val="007F0818"/>
    <w:rsid w:val="008050D0"/>
    <w:rsid w:val="0082420D"/>
    <w:rsid w:val="008329F6"/>
    <w:rsid w:val="008471E7"/>
    <w:rsid w:val="008538E1"/>
    <w:rsid w:val="008A7A0C"/>
    <w:rsid w:val="00913A78"/>
    <w:rsid w:val="00953ED8"/>
    <w:rsid w:val="009602EA"/>
    <w:rsid w:val="009A7751"/>
    <w:rsid w:val="009C17DE"/>
    <w:rsid w:val="009D5A46"/>
    <w:rsid w:val="009E5E58"/>
    <w:rsid w:val="009F40AD"/>
    <w:rsid w:val="00A01B2D"/>
    <w:rsid w:val="00A2447C"/>
    <w:rsid w:val="00A92D60"/>
    <w:rsid w:val="00A97983"/>
    <w:rsid w:val="00AA05E0"/>
    <w:rsid w:val="00AC6C10"/>
    <w:rsid w:val="00AE3AD8"/>
    <w:rsid w:val="00AF5E42"/>
    <w:rsid w:val="00B074BF"/>
    <w:rsid w:val="00B355A8"/>
    <w:rsid w:val="00B37E5C"/>
    <w:rsid w:val="00BB2764"/>
    <w:rsid w:val="00BB4622"/>
    <w:rsid w:val="00BE26CD"/>
    <w:rsid w:val="00BE2902"/>
    <w:rsid w:val="00C13A61"/>
    <w:rsid w:val="00C22EF1"/>
    <w:rsid w:val="00C53E05"/>
    <w:rsid w:val="00C96A03"/>
    <w:rsid w:val="00C973F2"/>
    <w:rsid w:val="00CB4454"/>
    <w:rsid w:val="00D15FBA"/>
    <w:rsid w:val="00D22697"/>
    <w:rsid w:val="00D6157F"/>
    <w:rsid w:val="00D75241"/>
    <w:rsid w:val="00DA5825"/>
    <w:rsid w:val="00DB6FF0"/>
    <w:rsid w:val="00DC6E03"/>
    <w:rsid w:val="00E345D7"/>
    <w:rsid w:val="00EB025C"/>
    <w:rsid w:val="00EB6F6F"/>
    <w:rsid w:val="00ED0173"/>
    <w:rsid w:val="00EF297B"/>
    <w:rsid w:val="00F06C9C"/>
    <w:rsid w:val="00F13B89"/>
    <w:rsid w:val="00F16573"/>
    <w:rsid w:val="00F546B7"/>
    <w:rsid w:val="00F550C6"/>
    <w:rsid w:val="00F70266"/>
    <w:rsid w:val="00F87BCE"/>
    <w:rsid w:val="00FE0A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53EAF6"/>
  <w15:chartTrackingRefBased/>
  <w15:docId w15:val="{651C9DA4-5FCC-42A0-8004-244EFDB5F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40A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rsid w:val="008050D0"/>
    <w:pPr>
      <w:ind w:left="720"/>
      <w:contextualSpacing/>
    </w:pPr>
  </w:style>
  <w:style w:type="character" w:customStyle="1" w:styleId="Heading1Char">
    <w:name w:val="Heading 1 Char"/>
    <w:basedOn w:val="DefaultParagraphFont"/>
    <w:link w:val="Heading1"/>
    <w:uiPriority w:val="9"/>
    <w:rsid w:val="009F40AD"/>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9F40AD"/>
  </w:style>
  <w:style w:type="paragraph" w:styleId="Caption">
    <w:name w:val="caption"/>
    <w:basedOn w:val="Normal"/>
    <w:next w:val="Normal"/>
    <w:link w:val="CaptionChar"/>
    <w:qFormat/>
    <w:rsid w:val="00C96A03"/>
    <w:pPr>
      <w:spacing w:before="120"/>
    </w:pPr>
    <w:rPr>
      <w:b/>
      <w:lang w:eastAsia="en-GB"/>
    </w:rPr>
  </w:style>
  <w:style w:type="character" w:customStyle="1" w:styleId="CaptionChar">
    <w:name w:val="Caption Char"/>
    <w:link w:val="Caption"/>
    <w:qFormat/>
    <w:rsid w:val="00C96A03"/>
    <w:rPr>
      <w:b/>
      <w:lang w:eastAsia="en-GB"/>
    </w:rPr>
  </w:style>
  <w:style w:type="table" w:styleId="TableGrid">
    <w:name w:val="Table Grid"/>
    <w:basedOn w:val="TableNormal"/>
    <w:uiPriority w:val="39"/>
    <w:rsid w:val="00071A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494DBA"/>
    <w:rPr>
      <w:rFonts w:ascii="Arial" w:eastAsia="MS Mincho" w:hAnsi="Arial" w:cs="Arial"/>
      <w:szCs w:val="24"/>
    </w:rPr>
  </w:style>
  <w:style w:type="paragraph" w:customStyle="1" w:styleId="Doc-text2">
    <w:name w:val="Doc-text2"/>
    <w:basedOn w:val="Normal"/>
    <w:link w:val="Doc-text2Char"/>
    <w:qFormat/>
    <w:rsid w:val="00494DBA"/>
    <w:pPr>
      <w:tabs>
        <w:tab w:val="left" w:pos="1622"/>
      </w:tabs>
      <w:spacing w:after="0" w:line="240" w:lineRule="auto"/>
      <w:ind w:left="1622" w:hanging="363"/>
    </w:pPr>
    <w:rPr>
      <w:rFonts w:ascii="Arial" w:eastAsia="MS Mincho" w:hAnsi="Arial" w:cs="Arial"/>
      <w:szCs w:val="24"/>
    </w:rPr>
  </w:style>
  <w:style w:type="paragraph" w:styleId="Header">
    <w:name w:val="header"/>
    <w:aliases w:val="header odd"/>
    <w:link w:val="HeaderChar"/>
    <w:rsid w:val="00C13A6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
    <w:basedOn w:val="DefaultParagraphFont"/>
    <w:link w:val="Header"/>
    <w:rsid w:val="00C13A61"/>
    <w:rPr>
      <w:rFonts w:ascii="Arial" w:eastAsia="SimSun" w:hAnsi="Arial" w:cs="Times New Roman"/>
      <w:b/>
      <w:noProof/>
      <w:sz w:val="18"/>
      <w:szCs w:val="20"/>
      <w:lang w:val="en-GB" w:eastAsia="ja-JP"/>
    </w:rPr>
  </w:style>
  <w:style w:type="paragraph" w:customStyle="1" w:styleId="CRCoverPage">
    <w:name w:val="CR Cover Page"/>
    <w:rsid w:val="00C13A61"/>
    <w:pPr>
      <w:spacing w:after="120" w:line="240" w:lineRule="auto"/>
    </w:pPr>
    <w:rPr>
      <w:rFonts w:ascii="Arial" w:eastAsia="MS Mincho" w:hAnsi="Arial" w:cs="Times New Roman"/>
      <w:sz w:val="20"/>
      <w:szCs w:val="20"/>
      <w:lang w:val="en-GB" w:eastAsia="en-US"/>
    </w:rPr>
  </w:style>
  <w:style w:type="character" w:styleId="Hyperlink">
    <w:name w:val="Hyperlink"/>
    <w:rsid w:val="00240F81"/>
    <w:rPr>
      <w:color w:val="0563C1"/>
      <w:u w:val="single"/>
    </w:rPr>
  </w:style>
  <w:style w:type="paragraph" w:customStyle="1" w:styleId="Default">
    <w:name w:val="Default"/>
    <w:rsid w:val="001514D1"/>
    <w:pPr>
      <w:autoSpaceDE w:val="0"/>
      <w:autoSpaceDN w:val="0"/>
      <w:adjustRightInd w:val="0"/>
      <w:spacing w:after="0" w:line="240" w:lineRule="auto"/>
    </w:pPr>
    <w:rPr>
      <w:rFonts w:ascii="Arial" w:hAnsi="Arial" w:cs="Arial"/>
      <w:color w:val="000000"/>
      <w:sz w:val="24"/>
      <w:szCs w:val="24"/>
    </w:rPr>
  </w:style>
  <w:style w:type="paragraph" w:styleId="Footer">
    <w:name w:val="footer"/>
    <w:basedOn w:val="Normal"/>
    <w:link w:val="FooterChar"/>
    <w:uiPriority w:val="99"/>
    <w:unhideWhenUsed/>
    <w:rsid w:val="00BE2902"/>
    <w:pPr>
      <w:tabs>
        <w:tab w:val="center" w:pos="4513"/>
        <w:tab w:val="right" w:pos="9026"/>
      </w:tabs>
      <w:snapToGrid w:val="0"/>
    </w:pPr>
  </w:style>
  <w:style w:type="character" w:customStyle="1" w:styleId="FooterChar">
    <w:name w:val="Footer Char"/>
    <w:basedOn w:val="DefaultParagraphFont"/>
    <w:link w:val="Footer"/>
    <w:uiPriority w:val="99"/>
    <w:rsid w:val="00BE2902"/>
  </w:style>
  <w:style w:type="character" w:styleId="CommentReference">
    <w:name w:val="annotation reference"/>
    <w:basedOn w:val="DefaultParagraphFont"/>
    <w:uiPriority w:val="99"/>
    <w:semiHidden/>
    <w:unhideWhenUsed/>
    <w:rsid w:val="00604903"/>
    <w:rPr>
      <w:sz w:val="18"/>
      <w:szCs w:val="18"/>
    </w:rPr>
  </w:style>
  <w:style w:type="paragraph" w:styleId="CommentText">
    <w:name w:val="annotation text"/>
    <w:basedOn w:val="Normal"/>
    <w:link w:val="CommentTextChar"/>
    <w:uiPriority w:val="99"/>
    <w:semiHidden/>
    <w:unhideWhenUsed/>
    <w:rsid w:val="00604903"/>
  </w:style>
  <w:style w:type="character" w:customStyle="1" w:styleId="CommentTextChar">
    <w:name w:val="Comment Text Char"/>
    <w:basedOn w:val="DefaultParagraphFont"/>
    <w:link w:val="CommentText"/>
    <w:uiPriority w:val="99"/>
    <w:semiHidden/>
    <w:rsid w:val="00604903"/>
  </w:style>
  <w:style w:type="paragraph" w:styleId="CommentSubject">
    <w:name w:val="annotation subject"/>
    <w:basedOn w:val="CommentText"/>
    <w:next w:val="CommentText"/>
    <w:link w:val="CommentSubjectChar"/>
    <w:uiPriority w:val="99"/>
    <w:semiHidden/>
    <w:unhideWhenUsed/>
    <w:rsid w:val="00604903"/>
    <w:rPr>
      <w:b/>
      <w:bCs/>
    </w:rPr>
  </w:style>
  <w:style w:type="character" w:customStyle="1" w:styleId="CommentSubjectChar">
    <w:name w:val="Comment Subject Char"/>
    <w:basedOn w:val="CommentTextChar"/>
    <w:link w:val="CommentSubject"/>
    <w:uiPriority w:val="99"/>
    <w:semiHidden/>
    <w:rsid w:val="00604903"/>
    <w:rPr>
      <w:b/>
      <w:bCs/>
    </w:rPr>
  </w:style>
  <w:style w:type="paragraph" w:styleId="BalloonText">
    <w:name w:val="Balloon Text"/>
    <w:basedOn w:val="Normal"/>
    <w:link w:val="BalloonTextChar"/>
    <w:uiPriority w:val="99"/>
    <w:semiHidden/>
    <w:unhideWhenUsed/>
    <w:rsid w:val="004917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17A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082346">
      <w:bodyDiv w:val="1"/>
      <w:marLeft w:val="0"/>
      <w:marRight w:val="0"/>
      <w:marTop w:val="0"/>
      <w:marBottom w:val="0"/>
      <w:divBdr>
        <w:top w:val="none" w:sz="0" w:space="0" w:color="auto"/>
        <w:left w:val="none" w:sz="0" w:space="0" w:color="auto"/>
        <w:bottom w:val="none" w:sz="0" w:space="0" w:color="auto"/>
        <w:right w:val="none" w:sz="0" w:space="0" w:color="auto"/>
      </w:divBdr>
    </w:div>
    <w:div w:id="147551926">
      <w:bodyDiv w:val="1"/>
      <w:marLeft w:val="0"/>
      <w:marRight w:val="0"/>
      <w:marTop w:val="0"/>
      <w:marBottom w:val="0"/>
      <w:divBdr>
        <w:top w:val="none" w:sz="0" w:space="0" w:color="auto"/>
        <w:left w:val="none" w:sz="0" w:space="0" w:color="auto"/>
        <w:bottom w:val="none" w:sz="0" w:space="0" w:color="auto"/>
        <w:right w:val="none" w:sz="0" w:space="0" w:color="auto"/>
      </w:divBdr>
    </w:div>
    <w:div w:id="552157316">
      <w:bodyDiv w:val="1"/>
      <w:marLeft w:val="0"/>
      <w:marRight w:val="0"/>
      <w:marTop w:val="0"/>
      <w:marBottom w:val="0"/>
      <w:divBdr>
        <w:top w:val="none" w:sz="0" w:space="0" w:color="auto"/>
        <w:left w:val="none" w:sz="0" w:space="0" w:color="auto"/>
        <w:bottom w:val="none" w:sz="0" w:space="0" w:color="auto"/>
        <w:right w:val="none" w:sz="0" w:space="0" w:color="auto"/>
      </w:divBdr>
    </w:div>
    <w:div w:id="903560826">
      <w:bodyDiv w:val="1"/>
      <w:marLeft w:val="0"/>
      <w:marRight w:val="0"/>
      <w:marTop w:val="0"/>
      <w:marBottom w:val="0"/>
      <w:divBdr>
        <w:top w:val="none" w:sz="0" w:space="0" w:color="auto"/>
        <w:left w:val="none" w:sz="0" w:space="0" w:color="auto"/>
        <w:bottom w:val="none" w:sz="0" w:space="0" w:color="auto"/>
        <w:right w:val="none" w:sz="0" w:space="0" w:color="auto"/>
      </w:divBdr>
    </w:div>
    <w:div w:id="1453131200">
      <w:bodyDiv w:val="1"/>
      <w:marLeft w:val="0"/>
      <w:marRight w:val="0"/>
      <w:marTop w:val="0"/>
      <w:marBottom w:val="0"/>
      <w:divBdr>
        <w:top w:val="none" w:sz="0" w:space="0" w:color="auto"/>
        <w:left w:val="none" w:sz="0" w:space="0" w:color="auto"/>
        <w:bottom w:val="none" w:sz="0" w:space="0" w:color="auto"/>
        <w:right w:val="none" w:sz="0" w:space="0" w:color="auto"/>
      </w:divBdr>
    </w:div>
    <w:div w:id="1577279460">
      <w:bodyDiv w:val="1"/>
      <w:marLeft w:val="0"/>
      <w:marRight w:val="0"/>
      <w:marTop w:val="0"/>
      <w:marBottom w:val="0"/>
      <w:divBdr>
        <w:top w:val="none" w:sz="0" w:space="0" w:color="auto"/>
        <w:left w:val="none" w:sz="0" w:space="0" w:color="auto"/>
        <w:bottom w:val="none" w:sz="0" w:space="0" w:color="auto"/>
        <w:right w:val="none" w:sz="0" w:space="0" w:color="auto"/>
      </w:divBdr>
    </w:div>
    <w:div w:id="1958876600">
      <w:bodyDiv w:val="1"/>
      <w:marLeft w:val="0"/>
      <w:marRight w:val="0"/>
      <w:marTop w:val="0"/>
      <w:marBottom w:val="0"/>
      <w:divBdr>
        <w:top w:val="none" w:sz="0" w:space="0" w:color="auto"/>
        <w:left w:val="none" w:sz="0" w:space="0" w:color="auto"/>
        <w:bottom w:val="none" w:sz="0" w:space="0" w:color="auto"/>
        <w:right w:val="none" w:sz="0" w:space="0" w:color="auto"/>
      </w:divBdr>
    </w:div>
    <w:div w:id="213335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2460</Words>
  <Characters>14026</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(Youn)</dc:creator>
  <cp:keywords/>
  <dc:description/>
  <cp:lastModifiedBy>Samsung_yh</cp:lastModifiedBy>
  <cp:revision>2</cp:revision>
  <dcterms:created xsi:type="dcterms:W3CDTF">2024-10-03T23:49:00Z</dcterms:created>
  <dcterms:modified xsi:type="dcterms:W3CDTF">2024-10-03T23:49:00Z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